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20460" w14:textId="095E5020" w:rsidR="00BB6B20" w:rsidRPr="008D7A18" w:rsidRDefault="00A708F2" w:rsidP="008D7A18">
      <w:pPr>
        <w:widowControl/>
        <w:shd w:val="clear" w:color="auto" w:fill="FFFFFF"/>
        <w:adjustRightInd w:val="0"/>
        <w:snapToGrid w:val="0"/>
        <w:jc w:val="center"/>
        <w:rPr>
          <w:b/>
          <w:sz w:val="26"/>
          <w:szCs w:val="26"/>
        </w:rPr>
      </w:pPr>
      <w:r w:rsidRPr="00BB6B20">
        <w:rPr>
          <w:b/>
          <w:sz w:val="26"/>
          <w:szCs w:val="26"/>
        </w:rPr>
        <w:t xml:space="preserve">Summary </w:t>
      </w:r>
      <w:r w:rsidR="003A7504" w:rsidRPr="008D7A18">
        <w:rPr>
          <w:b/>
          <w:sz w:val="26"/>
          <w:szCs w:val="26"/>
        </w:rPr>
        <w:t xml:space="preserve">of </w:t>
      </w:r>
      <w:r w:rsidR="003F2085" w:rsidRPr="008D7A18">
        <w:rPr>
          <w:b/>
          <w:sz w:val="26"/>
          <w:szCs w:val="26"/>
        </w:rPr>
        <w:t xml:space="preserve">Activities, Findings and Recommendations </w:t>
      </w:r>
      <w:r w:rsidR="00BB6B20" w:rsidRPr="008D7A18">
        <w:rPr>
          <w:b/>
          <w:sz w:val="26"/>
          <w:szCs w:val="26"/>
        </w:rPr>
        <w:t xml:space="preserve">from the </w:t>
      </w:r>
    </w:p>
    <w:p w14:paraId="67D0DF82" w14:textId="77777777" w:rsidR="00BB6B20" w:rsidRPr="008D7A18" w:rsidRDefault="00BB6B20" w:rsidP="008D7A18">
      <w:pPr>
        <w:widowControl/>
        <w:shd w:val="clear" w:color="auto" w:fill="FFFFFF"/>
        <w:adjustRightInd w:val="0"/>
        <w:snapToGrid w:val="0"/>
        <w:jc w:val="center"/>
        <w:rPr>
          <w:b/>
          <w:sz w:val="26"/>
          <w:szCs w:val="26"/>
        </w:rPr>
      </w:pPr>
      <w:r w:rsidRPr="008D7A18">
        <w:rPr>
          <w:b/>
          <w:sz w:val="26"/>
          <w:szCs w:val="26"/>
        </w:rPr>
        <w:t xml:space="preserve">APEC High Level Policy Dialogue on Enhancing Public and Private Partnership to Reduce Food Losses and Waste for a Sustainable APEC Food System </w:t>
      </w:r>
    </w:p>
    <w:p w14:paraId="331B71D0" w14:textId="77777777" w:rsidR="00BB6B20" w:rsidRPr="008D7A18" w:rsidRDefault="00BB6B20" w:rsidP="008D7A18">
      <w:pPr>
        <w:widowControl/>
        <w:shd w:val="clear" w:color="auto" w:fill="FFFFFF"/>
        <w:adjustRightInd w:val="0"/>
        <w:snapToGrid w:val="0"/>
        <w:jc w:val="center"/>
        <w:rPr>
          <w:sz w:val="26"/>
          <w:szCs w:val="26"/>
        </w:rPr>
      </w:pPr>
    </w:p>
    <w:p w14:paraId="08314235" w14:textId="3C515D6C" w:rsidR="007775A7" w:rsidRPr="00A86E85" w:rsidRDefault="00BB6B20" w:rsidP="008D7A18">
      <w:pPr>
        <w:widowControl/>
        <w:shd w:val="clear" w:color="auto" w:fill="FFFFFF"/>
        <w:adjustRightInd w:val="0"/>
        <w:snapToGrid w:val="0"/>
        <w:jc w:val="center"/>
        <w:rPr>
          <w:b/>
          <w:color w:val="000000" w:themeColor="text1"/>
          <w:sz w:val="26"/>
          <w:szCs w:val="26"/>
        </w:rPr>
      </w:pPr>
      <w:r w:rsidRPr="008D7A18">
        <w:rPr>
          <w:szCs w:val="26"/>
        </w:rPr>
        <w:t xml:space="preserve">(Draft Version 6, July </w:t>
      </w:r>
      <w:r w:rsidR="00F27C4B">
        <w:rPr>
          <w:szCs w:val="26"/>
        </w:rPr>
        <w:t>23</w:t>
      </w:r>
      <w:r w:rsidRPr="008D7A18">
        <w:rPr>
          <w:szCs w:val="26"/>
        </w:rPr>
        <w:t>, 2018)</w:t>
      </w:r>
    </w:p>
    <w:p w14:paraId="2610D767" w14:textId="77777777" w:rsidR="00622BBB" w:rsidRPr="002B373A" w:rsidRDefault="00622BBB" w:rsidP="008D7A18">
      <w:pPr>
        <w:widowControl/>
        <w:shd w:val="clear" w:color="auto" w:fill="FFFFFF"/>
        <w:rPr>
          <w:color w:val="000000" w:themeColor="text1"/>
        </w:rPr>
      </w:pPr>
    </w:p>
    <w:p w14:paraId="6EF0CD06" w14:textId="35380B16" w:rsidR="001E5C47" w:rsidRPr="008D7A18" w:rsidRDefault="00CC1E79" w:rsidP="008D7A18">
      <w:pPr>
        <w:numPr>
          <w:ilvl w:val="0"/>
          <w:numId w:val="5"/>
        </w:numPr>
        <w:spacing w:after="120" w:line="264" w:lineRule="auto"/>
        <w:ind w:left="425" w:hanging="425"/>
        <w:jc w:val="both"/>
      </w:pPr>
      <w:bookmarkStart w:id="0" w:name="_Hlk520134992"/>
      <w:bookmarkStart w:id="1" w:name="_GoBack"/>
      <w:r w:rsidRPr="008D7A18">
        <w:t>We,</w:t>
      </w:r>
      <w:r w:rsidR="00EE5FB0" w:rsidRPr="008D7A18">
        <w:t xml:space="preserve"> </w:t>
      </w:r>
      <w:r w:rsidR="00BB6B20" w:rsidRPr="008D7A18">
        <w:t xml:space="preserve">the high level representatives </w:t>
      </w:r>
      <w:r w:rsidR="00BB6B20">
        <w:t xml:space="preserve">of </w:t>
      </w:r>
      <w:r w:rsidR="00BB6B20" w:rsidRPr="008D7A18">
        <w:t xml:space="preserve">APEC member economies in attendance </w:t>
      </w:r>
      <w:r w:rsidR="00BB6B20">
        <w:t xml:space="preserve">at </w:t>
      </w:r>
      <w:r w:rsidR="00BB6B20" w:rsidRPr="008D7A18">
        <w:t>the APEC High Level Policy Dialogue on Enhancing Public and Private Partnership to Reduce Food Losses and Waste for a Sustainable APEC Food System,</w:t>
      </w:r>
      <w:r w:rsidR="00BB6B20">
        <w:t xml:space="preserve"> held in Taipei from June 14 to 15, 2018,</w:t>
      </w:r>
      <w:r w:rsidR="00E96058" w:rsidRPr="008D7A18">
        <w:t xml:space="preserve"> </w:t>
      </w:r>
      <w:r w:rsidR="007819E2" w:rsidRPr="008D7A18">
        <w:t xml:space="preserve">acknowledging the urgent </w:t>
      </w:r>
      <w:r w:rsidR="001E5C47" w:rsidRPr="008D7A18">
        <w:t xml:space="preserve">need to reduce food losses and waste </w:t>
      </w:r>
      <w:r w:rsidR="007819E2" w:rsidRPr="008D7A18">
        <w:t xml:space="preserve">(FLW) </w:t>
      </w:r>
      <w:r w:rsidR="001E5C47" w:rsidRPr="008D7A18">
        <w:t>in the supply chain</w:t>
      </w:r>
      <w:r w:rsidR="007819E2" w:rsidRPr="008D7A18">
        <w:t xml:space="preserve"> to ac</w:t>
      </w:r>
      <w:bookmarkEnd w:id="1"/>
      <w:r w:rsidR="007819E2" w:rsidRPr="008D7A18">
        <w:t>hieve food security and a sustainable food system, hereby</w:t>
      </w:r>
      <w:r w:rsidR="006E780B" w:rsidRPr="008D7A18">
        <w:t>: (I)</w:t>
      </w:r>
      <w:r w:rsidR="007819E2" w:rsidRPr="008D7A18">
        <w:t xml:space="preserve"> recognize the activities conducted under </w:t>
      </w:r>
      <w:r w:rsidR="001E5C47" w:rsidRPr="008D7A18">
        <w:t>APEC Multi-Year Project APEC MYP SCE 02 2013A</w:t>
      </w:r>
      <w:r w:rsidR="007819E2" w:rsidRPr="008D7A18">
        <w:t xml:space="preserve"> to reduce FLW</w:t>
      </w:r>
      <w:r w:rsidR="006E780B" w:rsidRPr="008D7A18">
        <w:t>; (II)</w:t>
      </w:r>
      <w:r w:rsidR="007819E2" w:rsidRPr="008D7A18">
        <w:t xml:space="preserve"> summarize the findings of these activities</w:t>
      </w:r>
      <w:r w:rsidR="00C52956" w:rsidRPr="008D7A18">
        <w:t>;</w:t>
      </w:r>
      <w:r w:rsidR="006E780B" w:rsidRPr="008D7A18">
        <w:t xml:space="preserve"> </w:t>
      </w:r>
      <w:r w:rsidR="007819E2" w:rsidRPr="008D7A18">
        <w:t xml:space="preserve">and </w:t>
      </w:r>
      <w:r w:rsidR="006E780B" w:rsidRPr="008D7A18">
        <w:t>(III) encourage APEC member economies to adopt</w:t>
      </w:r>
      <w:r w:rsidR="007819E2" w:rsidRPr="008D7A18">
        <w:t xml:space="preserve"> the</w:t>
      </w:r>
      <w:r w:rsidR="00663ACB" w:rsidRPr="008D7A18">
        <w:t xml:space="preserve"> following</w:t>
      </w:r>
      <w:r w:rsidR="007819E2" w:rsidRPr="008D7A18">
        <w:t xml:space="preserve"> recommendations</w:t>
      </w:r>
      <w:r w:rsidR="006E780B" w:rsidRPr="008D7A18">
        <w:t xml:space="preserve"> </w:t>
      </w:r>
      <w:r w:rsidR="007819E2" w:rsidRPr="008D7A18">
        <w:t xml:space="preserve">derived from these </w:t>
      </w:r>
      <w:r w:rsidR="006E780B" w:rsidRPr="008D7A18">
        <w:t xml:space="preserve">activities and </w:t>
      </w:r>
      <w:r w:rsidR="007819E2" w:rsidRPr="008D7A18">
        <w:t>findings</w:t>
      </w:r>
      <w:r w:rsidR="006E780B" w:rsidRPr="008D7A18">
        <w:t>,</w:t>
      </w:r>
      <w:r w:rsidR="007819E2" w:rsidRPr="008D7A18">
        <w:t xml:space="preserve"> </w:t>
      </w:r>
      <w:r w:rsidR="006E780B" w:rsidRPr="008D7A18">
        <w:t>as listed in the corresponding sections below.</w:t>
      </w:r>
    </w:p>
    <w:bookmarkEnd w:id="0"/>
    <w:p w14:paraId="0D0F6C67" w14:textId="549C6FEB" w:rsidR="005A0E3A" w:rsidRDefault="005A0E3A">
      <w:pPr>
        <w:numPr>
          <w:ilvl w:val="0"/>
          <w:numId w:val="5"/>
        </w:numPr>
        <w:spacing w:after="120" w:line="264" w:lineRule="auto"/>
        <w:ind w:left="425" w:hanging="425"/>
        <w:jc w:val="both"/>
      </w:pPr>
      <w:r>
        <w:t xml:space="preserve">We </w:t>
      </w:r>
      <w:r w:rsidRPr="00A86E85">
        <w:t xml:space="preserve">recognize that APEC economies face food security challenges </w:t>
      </w:r>
      <w:r>
        <w:t xml:space="preserve">arising </w:t>
      </w:r>
      <w:r w:rsidRPr="00A86E85">
        <w:t xml:space="preserve">from </w:t>
      </w:r>
      <w:proofErr w:type="gramStart"/>
      <w:r w:rsidRPr="00A86E85">
        <w:t>population</w:t>
      </w:r>
      <w:proofErr w:type="gramEnd"/>
      <w:r w:rsidRPr="00A86E85">
        <w:t xml:space="preserve"> growth, rapid urbanization, </w:t>
      </w:r>
      <w:r>
        <w:t xml:space="preserve">changes in </w:t>
      </w:r>
      <w:r w:rsidRPr="00A86E85">
        <w:t>diet, natural resource</w:t>
      </w:r>
      <w:r>
        <w:t xml:space="preserve"> constraints</w:t>
      </w:r>
      <w:r w:rsidRPr="00A86E85">
        <w:rPr>
          <w:rFonts w:hint="eastAsia"/>
        </w:rPr>
        <w:t xml:space="preserve">, </w:t>
      </w:r>
      <w:r>
        <w:t>inequality</w:t>
      </w:r>
      <w:r w:rsidRPr="00A86E85">
        <w:rPr>
          <w:rFonts w:hint="eastAsia"/>
        </w:rPr>
        <w:t xml:space="preserve"> </w:t>
      </w:r>
      <w:r>
        <w:t xml:space="preserve">in income and resource </w:t>
      </w:r>
      <w:r w:rsidRPr="00A86E85">
        <w:rPr>
          <w:rFonts w:hint="eastAsia"/>
        </w:rPr>
        <w:t>distribution,</w:t>
      </w:r>
      <w:r w:rsidRPr="00A86E85">
        <w:t xml:space="preserve"> and climate change.</w:t>
      </w:r>
    </w:p>
    <w:p w14:paraId="68CB77DF" w14:textId="59B0BC9A" w:rsidR="002725FA" w:rsidRPr="00A86E85" w:rsidRDefault="002725FA" w:rsidP="002725FA">
      <w:pPr>
        <w:numPr>
          <w:ilvl w:val="0"/>
          <w:numId w:val="5"/>
        </w:numPr>
        <w:spacing w:after="120" w:line="264" w:lineRule="auto"/>
        <w:ind w:left="425" w:hanging="425"/>
        <w:jc w:val="both"/>
      </w:pPr>
      <w:r w:rsidRPr="00A86E85">
        <w:t xml:space="preserve">We </w:t>
      </w:r>
      <w:r>
        <w:t xml:space="preserve">acknowledge </w:t>
      </w:r>
      <w:r w:rsidRPr="00A86E85">
        <w:t>that up to one</w:t>
      </w:r>
      <w:r>
        <w:t>-</w:t>
      </w:r>
      <w:r w:rsidRPr="00A86E85">
        <w:t>third</w:t>
      </w:r>
      <w:r>
        <w:t xml:space="preserve">, or </w:t>
      </w:r>
      <w:r w:rsidRPr="00A86E85">
        <w:t>approximately 1.3 billion tons</w:t>
      </w:r>
      <w:r>
        <w:t>,</w:t>
      </w:r>
      <w:r w:rsidRPr="00A86E85">
        <w:t xml:space="preserve"> of food produced for human consumption</w:t>
      </w:r>
      <w:r>
        <w:t xml:space="preserve"> </w:t>
      </w:r>
      <w:r w:rsidRPr="002725FA">
        <w:t xml:space="preserve">each year </w:t>
      </w:r>
      <w:r w:rsidRPr="00A86E85">
        <w:t xml:space="preserve">is lost or wasted </w:t>
      </w:r>
      <w:r>
        <w:t xml:space="preserve">along </w:t>
      </w:r>
      <w:r w:rsidRPr="00A86E85">
        <w:t>the supply chain</w:t>
      </w:r>
      <w:r>
        <w:t xml:space="preserve">, representing </w:t>
      </w:r>
      <w:r w:rsidRPr="00A86E85">
        <w:t xml:space="preserve">enough food to feed the </w:t>
      </w:r>
      <w:r>
        <w:t>estimated</w:t>
      </w:r>
      <w:r w:rsidRPr="00A86E85">
        <w:t xml:space="preserve"> 1 billion people </w:t>
      </w:r>
      <w:r>
        <w:t xml:space="preserve">around the world </w:t>
      </w:r>
      <w:r w:rsidRPr="00A86E85">
        <w:t>that are food insecure</w:t>
      </w:r>
      <w:r>
        <w:t xml:space="preserve">, and resulting in the </w:t>
      </w:r>
      <w:r w:rsidRPr="00A86E85">
        <w:t xml:space="preserve">waste of </w:t>
      </w:r>
      <w:r w:rsidRPr="00A86E85">
        <w:rPr>
          <w:rFonts w:eastAsia="Arial" w:cs="Arial"/>
        </w:rPr>
        <w:t>labor</w:t>
      </w:r>
      <w:r w:rsidRPr="00A86E85">
        <w:t xml:space="preserve">, water, energy, land and other </w:t>
      </w:r>
      <w:r>
        <w:t xml:space="preserve">resources </w:t>
      </w:r>
      <w:r w:rsidRPr="00A86E85">
        <w:t>used in producing that food.</w:t>
      </w:r>
      <w:r w:rsidRPr="00A86E85">
        <w:rPr>
          <w:rStyle w:val="aa"/>
        </w:rPr>
        <w:footnoteReference w:id="2"/>
      </w:r>
    </w:p>
    <w:p w14:paraId="1F1C8705" w14:textId="77777777" w:rsidR="002725FA" w:rsidRDefault="002725FA" w:rsidP="002725FA">
      <w:pPr>
        <w:numPr>
          <w:ilvl w:val="0"/>
          <w:numId w:val="5"/>
        </w:numPr>
        <w:spacing w:after="120" w:line="264" w:lineRule="auto"/>
        <w:ind w:left="425" w:hanging="425"/>
        <w:jc w:val="both"/>
      </w:pPr>
      <w:r w:rsidRPr="00A86E85">
        <w:t xml:space="preserve">We reaffirm that the reduction of </w:t>
      </w:r>
      <w:r>
        <w:t>f</w:t>
      </w:r>
      <w:r w:rsidRPr="00A86E85">
        <w:t xml:space="preserve">ood </w:t>
      </w:r>
      <w:r>
        <w:t>l</w:t>
      </w:r>
      <w:r w:rsidRPr="00A86E85">
        <w:t xml:space="preserve">osses and </w:t>
      </w:r>
      <w:r>
        <w:t>w</w:t>
      </w:r>
      <w:r w:rsidRPr="00A86E85">
        <w:t xml:space="preserve">aste can </w:t>
      </w:r>
      <w:r>
        <w:t xml:space="preserve">strengthen </w:t>
      </w:r>
      <w:r w:rsidRPr="00A86E85">
        <w:t xml:space="preserve">food security and </w:t>
      </w:r>
      <w:r>
        <w:t>support the attainment of a</w:t>
      </w:r>
      <w:r w:rsidRPr="00A86E85">
        <w:t xml:space="preserve"> sustainable food system.</w:t>
      </w:r>
    </w:p>
    <w:p w14:paraId="6775580B" w14:textId="64290D23" w:rsidR="002725FA" w:rsidRPr="00A86E85" w:rsidRDefault="002725FA" w:rsidP="002725FA">
      <w:pPr>
        <w:numPr>
          <w:ilvl w:val="0"/>
          <w:numId w:val="5"/>
        </w:numPr>
        <w:spacing w:after="120" w:line="264" w:lineRule="auto"/>
        <w:ind w:left="425" w:hanging="425"/>
        <w:jc w:val="both"/>
      </w:pPr>
      <w:r w:rsidRPr="00A86E85">
        <w:t>We take note of UN Sustainable Development Goals (SDGs) Target 12.3</w:t>
      </w:r>
      <w:r>
        <w:t xml:space="preserve">, which calls on governments, the private sector and individuals to, </w:t>
      </w:r>
      <w:r w:rsidRPr="00A86E85">
        <w:t>“</w:t>
      </w:r>
      <w:r>
        <w:t>[b]</w:t>
      </w:r>
      <w:r w:rsidRPr="00A86E85">
        <w:t>y 2030, halv</w:t>
      </w:r>
      <w:r>
        <w:t xml:space="preserve">e </w:t>
      </w:r>
      <w:r w:rsidRPr="00A86E85">
        <w:t>per capita global food waste at the retail and consumer levels and reduc</w:t>
      </w:r>
      <w:r>
        <w:t xml:space="preserve">e </w:t>
      </w:r>
      <w:r w:rsidRPr="00A86E85">
        <w:t>food losses along production and supply chains, including post-harvest losses.”</w:t>
      </w:r>
    </w:p>
    <w:p w14:paraId="531EDBCB" w14:textId="77777777" w:rsidR="002725FA" w:rsidRPr="00A86E85" w:rsidRDefault="002725FA" w:rsidP="002725FA">
      <w:pPr>
        <w:numPr>
          <w:ilvl w:val="0"/>
          <w:numId w:val="5"/>
        </w:numPr>
        <w:spacing w:after="120" w:line="264" w:lineRule="auto"/>
        <w:ind w:left="425" w:hanging="425"/>
        <w:jc w:val="both"/>
      </w:pPr>
      <w:r>
        <w:t>We recognize that the issue of FLW can best be addressed from three perspectives: “a systemic perspective; a sustainability perspective, including the environmental, social and economic dimensions of sustainability; and a food security and nutrition perspective, looking at how food losses and waste relate to the various dimensions of food security and nutrition.”</w:t>
      </w:r>
      <w:r w:rsidRPr="00A86E85">
        <w:rPr>
          <w:rStyle w:val="aa"/>
        </w:rPr>
        <w:footnoteReference w:id="3"/>
      </w:r>
    </w:p>
    <w:p w14:paraId="75A5DB5B" w14:textId="7D80C4F2" w:rsidR="009009A9" w:rsidRPr="00A86E85" w:rsidRDefault="00AB3CA6" w:rsidP="009009A9">
      <w:pPr>
        <w:numPr>
          <w:ilvl w:val="0"/>
          <w:numId w:val="5"/>
        </w:numPr>
        <w:spacing w:after="120" w:line="264" w:lineRule="auto"/>
        <w:ind w:left="425" w:hanging="425"/>
        <w:jc w:val="both"/>
      </w:pPr>
      <w:r w:rsidRPr="00A86E85">
        <w:t xml:space="preserve">We </w:t>
      </w:r>
      <w:r w:rsidR="000D7831">
        <w:t xml:space="preserve">emphasize </w:t>
      </w:r>
      <w:r w:rsidRPr="00A86E85">
        <w:t>that</w:t>
      </w:r>
      <w:r w:rsidR="000D7831">
        <w:t xml:space="preserve">, under </w:t>
      </w:r>
      <w:r w:rsidR="000D7831" w:rsidRPr="00A86E85">
        <w:t>the APEC Food Security Roadmap Towards 2020,</w:t>
      </w:r>
      <w:r w:rsidR="002725FA">
        <w:t xml:space="preserve"> </w:t>
      </w:r>
      <w:r w:rsidR="002725FA">
        <w:lastRenderedPageBreak/>
        <w:t>approved in 2014,</w:t>
      </w:r>
      <w:r w:rsidRPr="00A86E85">
        <w:t xml:space="preserve"> the long-term goal of the Policy Partnership on Food Security (PPFS) is the attainment </w:t>
      </w:r>
      <w:r w:rsidR="000D7831">
        <w:t xml:space="preserve">by 2020 </w:t>
      </w:r>
      <w:r w:rsidRPr="00A86E85">
        <w:t xml:space="preserve">of a sustainable food system sufficient to provide lasting food security to APEC member economies.  </w:t>
      </w:r>
    </w:p>
    <w:p w14:paraId="4536A0D5" w14:textId="0EBF4CDE" w:rsidR="002725FA" w:rsidRPr="00A86E85" w:rsidRDefault="002725FA" w:rsidP="002725FA">
      <w:pPr>
        <w:numPr>
          <w:ilvl w:val="0"/>
          <w:numId w:val="5"/>
        </w:numPr>
        <w:spacing w:after="120" w:line="264" w:lineRule="auto"/>
        <w:ind w:left="425" w:hanging="425"/>
        <w:jc w:val="both"/>
      </w:pPr>
      <w:r w:rsidRPr="008D7A18">
        <w:t>We recall</w:t>
      </w:r>
      <w:r w:rsidRPr="00A86E85">
        <w:t xml:space="preserve"> that APEC economies </w:t>
      </w:r>
      <w:r>
        <w:t xml:space="preserve">committed in the </w:t>
      </w:r>
      <w:r w:rsidRPr="006E780B">
        <w:t>APEC Food Security Roadmap Towards 2020</w:t>
      </w:r>
      <w:r>
        <w:t xml:space="preserve"> </w:t>
      </w:r>
      <w:r w:rsidRPr="00A86E85">
        <w:t xml:space="preserve">to </w:t>
      </w:r>
      <w:r>
        <w:t xml:space="preserve">“strive to </w:t>
      </w:r>
      <w:r w:rsidRPr="00A86E85">
        <w:t>reduce food loss and waste by 10% compared with the 2011-2012 levels by 2020 in the Asia-Pacific region,</w:t>
      </w:r>
      <w:r>
        <w:t xml:space="preserve"> [and to]</w:t>
      </w:r>
      <w:r w:rsidRPr="00A86E85">
        <w:t xml:space="preserve"> aim to advance beyond the Millennium Development Goals (MDGs) 2015 hunger goals</w:t>
      </w:r>
      <w:r>
        <w:t>,</w:t>
      </w:r>
      <w:r w:rsidRPr="00A86E85">
        <w:t xml:space="preserve">” noting that the 10% </w:t>
      </w:r>
      <w:r>
        <w:t xml:space="preserve">specified in that goal </w:t>
      </w:r>
      <w:r w:rsidRPr="00A86E85">
        <w:t>is an average level for all economies</w:t>
      </w:r>
      <w:r>
        <w:t>, with specific indicators to be developed based on each economy’s respective situation</w:t>
      </w:r>
      <w:r w:rsidRPr="00A86E85">
        <w:t>.</w:t>
      </w:r>
    </w:p>
    <w:p w14:paraId="3139ABF0" w14:textId="23D9E536" w:rsidR="002725FA" w:rsidRPr="008D7A18" w:rsidRDefault="002725FA" w:rsidP="009009A9">
      <w:pPr>
        <w:numPr>
          <w:ilvl w:val="0"/>
          <w:numId w:val="5"/>
        </w:numPr>
        <w:spacing w:after="120" w:line="264" w:lineRule="auto"/>
        <w:ind w:left="425" w:hanging="425"/>
        <w:jc w:val="both"/>
      </w:pPr>
      <w:r>
        <w:t xml:space="preserve">We </w:t>
      </w:r>
      <w:r w:rsidRPr="00A86E85">
        <w:t xml:space="preserve">recognize the important role of </w:t>
      </w:r>
      <w:r>
        <w:rPr>
          <w:rFonts w:hint="eastAsia"/>
        </w:rPr>
        <w:t>public</w:t>
      </w:r>
      <w:r>
        <w:t>-</w:t>
      </w:r>
      <w:r w:rsidRPr="00A86E85">
        <w:t xml:space="preserve">private </w:t>
      </w:r>
      <w:r>
        <w:t xml:space="preserve">partnerships </w:t>
      </w:r>
      <w:r w:rsidRPr="00A86E85">
        <w:t>in achieving food security</w:t>
      </w:r>
      <w:r>
        <w:rPr>
          <w:rFonts w:hint="eastAsia"/>
        </w:rPr>
        <w:t>,</w:t>
      </w:r>
      <w:r w:rsidRPr="00A86E85">
        <w:t xml:space="preserve"> and </w:t>
      </w:r>
      <w:r>
        <w:rPr>
          <w:rFonts w:hint="eastAsia"/>
        </w:rPr>
        <w:t xml:space="preserve">welcome </w:t>
      </w:r>
      <w:r>
        <w:t xml:space="preserve">these </w:t>
      </w:r>
      <w:r w:rsidRPr="00A86E85">
        <w:t xml:space="preserve">partnerships </w:t>
      </w:r>
      <w:r>
        <w:rPr>
          <w:rFonts w:hint="eastAsia"/>
        </w:rPr>
        <w:t xml:space="preserve">as a key </w:t>
      </w:r>
      <w:r>
        <w:t xml:space="preserve">part of </w:t>
      </w:r>
      <w:r w:rsidRPr="00A86E85">
        <w:t>any PPFS activity</w:t>
      </w:r>
      <w:r>
        <w:rPr>
          <w:rFonts w:hint="eastAsia"/>
        </w:rPr>
        <w:t>,</w:t>
      </w:r>
      <w:r w:rsidRPr="00A86E85">
        <w:t xml:space="preserve"> as </w:t>
      </w:r>
      <w:r>
        <w:t>emphasized</w:t>
      </w:r>
      <w:r w:rsidRPr="00A86E85">
        <w:t xml:space="preserve"> in </w:t>
      </w:r>
      <w:r>
        <w:rPr>
          <w:rFonts w:hint="eastAsia"/>
        </w:rPr>
        <w:t xml:space="preserve">the </w:t>
      </w:r>
      <w:r w:rsidRPr="00A86E85">
        <w:t>APEC Food Security Roadmap</w:t>
      </w:r>
      <w:r>
        <w:rPr>
          <w:rFonts w:hint="eastAsia"/>
        </w:rPr>
        <w:t xml:space="preserve"> Towards 2020</w:t>
      </w:r>
      <w:r w:rsidRPr="00A86E85">
        <w:t>.</w:t>
      </w:r>
    </w:p>
    <w:p w14:paraId="4B71AA9B" w14:textId="3F981FCB" w:rsidR="00493435" w:rsidRPr="0026202D" w:rsidRDefault="00493435" w:rsidP="00493435">
      <w:pPr>
        <w:pStyle w:val="a7"/>
        <w:numPr>
          <w:ilvl w:val="0"/>
          <w:numId w:val="15"/>
        </w:numPr>
        <w:spacing w:after="120" w:line="264" w:lineRule="auto"/>
        <w:ind w:leftChars="0" w:left="450" w:hanging="450"/>
        <w:jc w:val="both"/>
        <w:rPr>
          <w:b/>
          <w:color w:val="000000" w:themeColor="text1"/>
        </w:rPr>
      </w:pPr>
      <w:r w:rsidRPr="0026202D">
        <w:rPr>
          <w:b/>
          <w:color w:val="000000" w:themeColor="text1"/>
        </w:rPr>
        <w:t xml:space="preserve">APEC </w:t>
      </w:r>
      <w:r w:rsidR="00E4730C">
        <w:rPr>
          <w:b/>
          <w:color w:val="000000" w:themeColor="text1"/>
        </w:rPr>
        <w:t>A</w:t>
      </w:r>
      <w:r w:rsidR="00175E50" w:rsidRPr="0026202D">
        <w:rPr>
          <w:b/>
          <w:color w:val="000000" w:themeColor="text1"/>
        </w:rPr>
        <w:t>ctivities</w:t>
      </w:r>
      <w:r w:rsidRPr="0026202D">
        <w:rPr>
          <w:b/>
          <w:color w:val="000000" w:themeColor="text1"/>
        </w:rPr>
        <w:t xml:space="preserve"> to </w:t>
      </w:r>
      <w:r w:rsidR="00E4730C">
        <w:rPr>
          <w:b/>
          <w:color w:val="000000" w:themeColor="text1"/>
        </w:rPr>
        <w:t>S</w:t>
      </w:r>
      <w:r w:rsidR="00175E50" w:rsidRPr="0026202D">
        <w:rPr>
          <w:b/>
          <w:color w:val="000000" w:themeColor="text1"/>
        </w:rPr>
        <w:t xml:space="preserve">upport the </w:t>
      </w:r>
      <w:r w:rsidR="00E4730C">
        <w:rPr>
          <w:b/>
          <w:color w:val="000000" w:themeColor="text1"/>
        </w:rPr>
        <w:t>R</w:t>
      </w:r>
      <w:r w:rsidR="00175E50" w:rsidRPr="0026202D">
        <w:rPr>
          <w:b/>
          <w:color w:val="000000" w:themeColor="text1"/>
        </w:rPr>
        <w:t xml:space="preserve">eduction of </w:t>
      </w:r>
      <w:r w:rsidR="00E4730C">
        <w:rPr>
          <w:b/>
          <w:color w:val="000000" w:themeColor="text1"/>
        </w:rPr>
        <w:t>F</w:t>
      </w:r>
      <w:r w:rsidRPr="0026202D">
        <w:rPr>
          <w:b/>
          <w:color w:val="000000" w:themeColor="text1"/>
        </w:rPr>
        <w:t xml:space="preserve">ood </w:t>
      </w:r>
      <w:r w:rsidR="00E4730C">
        <w:rPr>
          <w:b/>
          <w:color w:val="000000" w:themeColor="text1"/>
        </w:rPr>
        <w:t>L</w:t>
      </w:r>
      <w:r w:rsidRPr="0026202D">
        <w:rPr>
          <w:b/>
          <w:color w:val="000000" w:themeColor="text1"/>
        </w:rPr>
        <w:t>oss</w:t>
      </w:r>
      <w:r w:rsidR="00E4730C">
        <w:rPr>
          <w:b/>
          <w:color w:val="000000" w:themeColor="text1"/>
        </w:rPr>
        <w:t>es</w:t>
      </w:r>
      <w:r w:rsidRPr="0026202D">
        <w:rPr>
          <w:b/>
          <w:color w:val="000000" w:themeColor="text1"/>
        </w:rPr>
        <w:t xml:space="preserve"> and </w:t>
      </w:r>
      <w:r w:rsidR="00E4730C">
        <w:rPr>
          <w:b/>
          <w:color w:val="000000" w:themeColor="text1"/>
        </w:rPr>
        <w:t>W</w:t>
      </w:r>
      <w:r w:rsidRPr="0026202D">
        <w:rPr>
          <w:b/>
          <w:color w:val="000000" w:themeColor="text1"/>
        </w:rPr>
        <w:t>aste</w:t>
      </w:r>
    </w:p>
    <w:p w14:paraId="01EC6420" w14:textId="203678A0" w:rsidR="00C50BB7" w:rsidRDefault="00C50BB7" w:rsidP="00AD2D06">
      <w:pPr>
        <w:numPr>
          <w:ilvl w:val="0"/>
          <w:numId w:val="5"/>
        </w:numPr>
        <w:spacing w:after="120" w:line="264" w:lineRule="auto"/>
        <w:ind w:left="425" w:hanging="425"/>
        <w:jc w:val="both"/>
        <w:rPr>
          <w:color w:val="000000" w:themeColor="text1"/>
        </w:rPr>
      </w:pPr>
      <w:r>
        <w:rPr>
          <w:color w:val="000000" w:themeColor="text1"/>
        </w:rPr>
        <w:t xml:space="preserve">We </w:t>
      </w:r>
      <w:r w:rsidR="003D6605">
        <w:rPr>
          <w:color w:val="000000" w:themeColor="text1"/>
        </w:rPr>
        <w:t xml:space="preserve">recognize </w:t>
      </w:r>
      <w:r>
        <w:rPr>
          <w:color w:val="000000" w:themeColor="text1"/>
        </w:rPr>
        <w:t>that</w:t>
      </w:r>
      <w:r w:rsidR="00E4730C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2F2893">
        <w:rPr>
          <w:color w:val="000000" w:themeColor="text1"/>
        </w:rPr>
        <w:t xml:space="preserve">under </w:t>
      </w:r>
      <w:r w:rsidR="00E4730C">
        <w:rPr>
          <w:color w:val="000000" w:themeColor="text1"/>
        </w:rPr>
        <w:t xml:space="preserve">the </w:t>
      </w:r>
      <w:r w:rsidR="00663ACB">
        <w:rPr>
          <w:color w:val="000000" w:themeColor="text1"/>
        </w:rPr>
        <w:t xml:space="preserve">APEC </w:t>
      </w:r>
      <w:r w:rsidRPr="002B373A">
        <w:rPr>
          <w:color w:val="000000" w:themeColor="text1"/>
        </w:rPr>
        <w:t>Multi-Year Project “Strengthening Public-Private Partnership to Reduce Food Losses in the Supply Chain” (</w:t>
      </w:r>
      <w:r w:rsidR="00EE5FB0">
        <w:rPr>
          <w:color w:val="000000" w:themeColor="text1"/>
        </w:rPr>
        <w:t xml:space="preserve">APEC </w:t>
      </w:r>
      <w:r w:rsidRPr="002B373A">
        <w:rPr>
          <w:color w:val="000000" w:themeColor="text1"/>
        </w:rPr>
        <w:t>MYP SCE 02 2013A</w:t>
      </w:r>
      <w:r w:rsidR="00E033F7">
        <w:rPr>
          <w:color w:val="000000" w:themeColor="text1"/>
        </w:rPr>
        <w:t xml:space="preserve">, hereafter </w:t>
      </w:r>
      <w:r w:rsidR="002F2893">
        <w:rPr>
          <w:color w:val="000000" w:themeColor="text1"/>
        </w:rPr>
        <w:t>“</w:t>
      </w:r>
      <w:r w:rsidR="00E033F7" w:rsidRPr="007A0564">
        <w:rPr>
          <w:color w:val="000000" w:themeColor="text1"/>
        </w:rPr>
        <w:t xml:space="preserve">APEC </w:t>
      </w:r>
      <w:r w:rsidR="00E4730C" w:rsidRPr="007A0564">
        <w:rPr>
          <w:color w:val="000000" w:themeColor="text1"/>
        </w:rPr>
        <w:t xml:space="preserve">MYP </w:t>
      </w:r>
      <w:r w:rsidR="00E033F7" w:rsidRPr="007A0564">
        <w:rPr>
          <w:color w:val="000000" w:themeColor="text1"/>
        </w:rPr>
        <w:t>FLW</w:t>
      </w:r>
      <w:r w:rsidR="002F2893">
        <w:rPr>
          <w:color w:val="000000" w:themeColor="text1"/>
        </w:rPr>
        <w:t>”</w:t>
      </w:r>
      <w:r w:rsidRPr="002B373A">
        <w:rPr>
          <w:color w:val="000000" w:themeColor="text1"/>
        </w:rPr>
        <w:t>)</w:t>
      </w:r>
      <w:r w:rsidR="002F2893">
        <w:rPr>
          <w:color w:val="000000" w:themeColor="text1"/>
        </w:rPr>
        <w:t xml:space="preserve"> and associated </w:t>
      </w:r>
      <w:proofErr w:type="gramStart"/>
      <w:r w:rsidR="002F2893">
        <w:rPr>
          <w:color w:val="000000" w:themeColor="text1"/>
        </w:rPr>
        <w:t>initiatives</w:t>
      </w:r>
      <w:r w:rsidR="00FB44EE">
        <w:rPr>
          <w:color w:val="000000" w:themeColor="text1"/>
        </w:rPr>
        <w:t>,</w:t>
      </w:r>
      <w:proofErr w:type="gramEnd"/>
      <w:r w:rsidR="00FB44E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APEC has </w:t>
      </w:r>
      <w:r w:rsidR="002F2893">
        <w:rPr>
          <w:color w:val="000000" w:themeColor="text1"/>
        </w:rPr>
        <w:t>under</w:t>
      </w:r>
      <w:r>
        <w:rPr>
          <w:color w:val="000000" w:themeColor="text1"/>
        </w:rPr>
        <w:t xml:space="preserve">taken </w:t>
      </w:r>
      <w:r w:rsidR="002725FA">
        <w:rPr>
          <w:color w:val="000000" w:themeColor="text1"/>
        </w:rPr>
        <w:t xml:space="preserve">a number of </w:t>
      </w:r>
      <w:r w:rsidR="002F2893">
        <w:rPr>
          <w:color w:val="000000" w:themeColor="text1"/>
        </w:rPr>
        <w:t xml:space="preserve">activities </w:t>
      </w:r>
      <w:r>
        <w:rPr>
          <w:color w:val="000000" w:themeColor="text1"/>
        </w:rPr>
        <w:t xml:space="preserve">to support </w:t>
      </w:r>
      <w:r w:rsidR="00E4730C">
        <w:rPr>
          <w:color w:val="000000" w:themeColor="text1"/>
        </w:rPr>
        <w:t xml:space="preserve">its </w:t>
      </w:r>
      <w:r>
        <w:rPr>
          <w:color w:val="000000" w:themeColor="text1"/>
        </w:rPr>
        <w:t xml:space="preserve">objective of reducing </w:t>
      </w:r>
      <w:r w:rsidR="004D7FD7">
        <w:rPr>
          <w:color w:val="000000" w:themeColor="text1"/>
        </w:rPr>
        <w:t>FLW</w:t>
      </w:r>
      <w:r w:rsidR="00175E50">
        <w:rPr>
          <w:color w:val="000000" w:themeColor="text1"/>
        </w:rPr>
        <w:t xml:space="preserve"> in APEC member economies</w:t>
      </w:r>
      <w:r>
        <w:rPr>
          <w:color w:val="000000" w:themeColor="text1"/>
        </w:rPr>
        <w:t>.</w:t>
      </w:r>
    </w:p>
    <w:p w14:paraId="2ACAA060" w14:textId="3DBBE75C" w:rsidR="00A243F9" w:rsidRPr="00A45DF2" w:rsidRDefault="002E2AD4" w:rsidP="000F077C">
      <w:pPr>
        <w:numPr>
          <w:ilvl w:val="0"/>
          <w:numId w:val="5"/>
        </w:numPr>
        <w:spacing w:after="120" w:line="264" w:lineRule="auto"/>
        <w:ind w:left="425" w:hanging="425"/>
        <w:jc w:val="both"/>
      </w:pPr>
      <w:r w:rsidRPr="00A45DF2">
        <w:t xml:space="preserve">We note that </w:t>
      </w:r>
      <w:r w:rsidR="003D6605">
        <w:t>“A Food Loss and Waste</w:t>
      </w:r>
      <w:r w:rsidR="00C50BB7" w:rsidRPr="00A45DF2">
        <w:t xml:space="preserve"> Quantification Handbook for APEC Economies</w:t>
      </w:r>
      <w:r w:rsidR="003D6605">
        <w:t>”</w:t>
      </w:r>
      <w:r w:rsidR="00C50BB7" w:rsidRPr="00A45DF2">
        <w:t xml:space="preserve"> (hereafter </w:t>
      </w:r>
      <w:r w:rsidR="002F2893">
        <w:t>“</w:t>
      </w:r>
      <w:r w:rsidR="00C50BB7" w:rsidRPr="00A45DF2">
        <w:t>APEC FLW Handbook</w:t>
      </w:r>
      <w:r w:rsidR="002F2893">
        <w:t>”</w:t>
      </w:r>
      <w:r w:rsidR="00C50BB7" w:rsidRPr="00A45DF2">
        <w:t>)</w:t>
      </w:r>
      <w:r w:rsidR="00221146">
        <w:t>, produced under APEC MYP FLW,</w:t>
      </w:r>
      <w:r w:rsidR="003D6605">
        <w:t xml:space="preserve"> </w:t>
      </w:r>
      <w:r w:rsidR="00C50BB7" w:rsidRPr="00A45DF2">
        <w:t>provides a review of food loss and waste definitions, measurement approaches and APEC case studies to support APEC member economies in developing their own systematic quantification method</w:t>
      </w:r>
      <w:r w:rsidR="008E64E7" w:rsidRPr="00A45DF2">
        <w:t>s</w:t>
      </w:r>
      <w:r w:rsidR="00C50BB7" w:rsidRPr="00A45DF2">
        <w:t xml:space="preserve"> to estimate FLW</w:t>
      </w:r>
      <w:r w:rsidR="003D6605">
        <w:t>, while drawing on</w:t>
      </w:r>
      <w:r w:rsidR="00143D50" w:rsidRPr="00A45DF2">
        <w:t xml:space="preserve"> </w:t>
      </w:r>
      <w:r w:rsidR="003D6605">
        <w:t xml:space="preserve">the </w:t>
      </w:r>
      <w:r w:rsidR="00A243F9" w:rsidRPr="00A45DF2">
        <w:t>Mass Flow Model</w:t>
      </w:r>
      <w:r w:rsidR="003D6605">
        <w:t xml:space="preserve"> </w:t>
      </w:r>
      <w:r w:rsidR="00A243F9" w:rsidRPr="00A45DF2">
        <w:t xml:space="preserve">and </w:t>
      </w:r>
      <w:r w:rsidR="003D6605">
        <w:t xml:space="preserve">2011 </w:t>
      </w:r>
      <w:r w:rsidR="00A243F9" w:rsidRPr="00A45DF2">
        <w:t xml:space="preserve">Food Balance Sheet </w:t>
      </w:r>
      <w:r w:rsidR="003D6605">
        <w:t xml:space="preserve">of the </w:t>
      </w:r>
      <w:r w:rsidR="003D6605" w:rsidRPr="00A45DF2">
        <w:t>United Nation</w:t>
      </w:r>
      <w:r w:rsidR="003D6605">
        <w:t>s</w:t>
      </w:r>
      <w:r w:rsidR="003D6605" w:rsidRPr="00A45DF2">
        <w:t xml:space="preserve"> FAO </w:t>
      </w:r>
      <w:r w:rsidR="003D6605">
        <w:t xml:space="preserve">to </w:t>
      </w:r>
      <w:r w:rsidR="00A243F9" w:rsidRPr="00A45DF2">
        <w:t xml:space="preserve">provide </w:t>
      </w:r>
      <w:r w:rsidR="00143D50" w:rsidRPr="00A45DF2">
        <w:t xml:space="preserve">baseline </w:t>
      </w:r>
      <w:r w:rsidR="003D6605">
        <w:t xml:space="preserve">FLW quantity </w:t>
      </w:r>
      <w:r w:rsidR="00143D50" w:rsidRPr="00A45DF2">
        <w:t>data</w:t>
      </w:r>
      <w:r w:rsidR="00A243F9" w:rsidRPr="00A45DF2">
        <w:t xml:space="preserve"> for 19 APEC member economies.</w:t>
      </w:r>
      <w:r w:rsidR="003D6605" w:rsidRPr="00A45DF2">
        <w:rPr>
          <w:rStyle w:val="aa"/>
        </w:rPr>
        <w:footnoteReference w:id="4"/>
      </w:r>
    </w:p>
    <w:p w14:paraId="022E61B3" w14:textId="7CDBFDD0" w:rsidR="000805D3" w:rsidRPr="0047441D" w:rsidRDefault="00816CBE" w:rsidP="000805D3">
      <w:pPr>
        <w:numPr>
          <w:ilvl w:val="0"/>
          <w:numId w:val="5"/>
        </w:numPr>
        <w:spacing w:after="120" w:line="264" w:lineRule="auto"/>
        <w:ind w:left="425" w:hanging="425"/>
        <w:jc w:val="both"/>
      </w:pPr>
      <w:r w:rsidRPr="0047441D">
        <w:t xml:space="preserve">We </w:t>
      </w:r>
      <w:r w:rsidR="008424BB">
        <w:t xml:space="preserve">further </w:t>
      </w:r>
      <w:r w:rsidRPr="0047441D">
        <w:t>note that</w:t>
      </w:r>
      <w:r w:rsidR="00221146">
        <w:t xml:space="preserve"> the</w:t>
      </w:r>
      <w:r w:rsidRPr="0047441D">
        <w:t xml:space="preserve"> </w:t>
      </w:r>
      <w:r w:rsidR="00221146">
        <w:t>“</w:t>
      </w:r>
      <w:r w:rsidR="000805D3" w:rsidRPr="0047441D">
        <w:rPr>
          <w:rFonts w:hint="eastAsia"/>
        </w:rPr>
        <w:t xml:space="preserve">APEC Survey </w:t>
      </w:r>
      <w:r w:rsidR="0049402C" w:rsidRPr="0047441D">
        <w:rPr>
          <w:rFonts w:hint="eastAsia"/>
        </w:rPr>
        <w:t>on F</w:t>
      </w:r>
      <w:r w:rsidR="0049402C" w:rsidRPr="0047441D">
        <w:t>o</w:t>
      </w:r>
      <w:r w:rsidR="0049402C" w:rsidRPr="0047441D">
        <w:rPr>
          <w:rFonts w:hint="eastAsia"/>
        </w:rPr>
        <w:t xml:space="preserve">od </w:t>
      </w:r>
      <w:r w:rsidR="0049402C" w:rsidRPr="0047441D">
        <w:t>Loss and Waste Reduction Policy</w:t>
      </w:r>
      <w:r w:rsidR="00221146">
        <w:t>”</w:t>
      </w:r>
      <w:r w:rsidR="00990C83" w:rsidRPr="0047441D">
        <w:t xml:space="preserve"> (hereafter</w:t>
      </w:r>
      <w:r w:rsidR="000805D3" w:rsidRPr="0047441D">
        <w:t xml:space="preserve"> </w:t>
      </w:r>
      <w:r w:rsidR="00221146">
        <w:t>“</w:t>
      </w:r>
      <w:r w:rsidR="000805D3" w:rsidRPr="0047441D">
        <w:t xml:space="preserve">first </w:t>
      </w:r>
      <w:r w:rsidR="00BD637C" w:rsidRPr="0047441D">
        <w:t xml:space="preserve">FLW </w:t>
      </w:r>
      <w:r w:rsidR="000805D3" w:rsidRPr="0047441D">
        <w:t>survey</w:t>
      </w:r>
      <w:r w:rsidR="00221146">
        <w:t>”</w:t>
      </w:r>
      <w:r w:rsidR="000805D3" w:rsidRPr="0047441D">
        <w:t>)</w:t>
      </w:r>
      <w:r w:rsidR="00221146">
        <w:t xml:space="preserve"> was</w:t>
      </w:r>
      <w:r w:rsidR="000805D3" w:rsidRPr="0047441D">
        <w:t xml:space="preserve"> carried </w:t>
      </w:r>
      <w:r w:rsidR="00221146">
        <w:t xml:space="preserve">out under </w:t>
      </w:r>
      <w:r w:rsidR="00434949" w:rsidRPr="007A0564">
        <w:rPr>
          <w:color w:val="000000" w:themeColor="text1"/>
        </w:rPr>
        <w:t xml:space="preserve">APEC </w:t>
      </w:r>
      <w:r w:rsidR="00E4730C" w:rsidRPr="007A0564">
        <w:rPr>
          <w:color w:val="000000" w:themeColor="text1"/>
        </w:rPr>
        <w:t>MYP</w:t>
      </w:r>
      <w:r w:rsidR="00E4730C" w:rsidRPr="0047441D">
        <w:t xml:space="preserve"> </w:t>
      </w:r>
      <w:r w:rsidR="00434949" w:rsidRPr="007A0564">
        <w:rPr>
          <w:color w:val="000000" w:themeColor="text1"/>
        </w:rPr>
        <w:t xml:space="preserve">FLW </w:t>
      </w:r>
      <w:r w:rsidR="000805D3" w:rsidRPr="0047441D">
        <w:t>in May 2017</w:t>
      </w:r>
      <w:r w:rsidR="00221146">
        <w:t xml:space="preserve"> with the main purpose of </w:t>
      </w:r>
      <w:r w:rsidR="00D64AA8">
        <w:t xml:space="preserve">assessing </w:t>
      </w:r>
      <w:r w:rsidR="00221146">
        <w:t>the current progress of implementation of programs and initiatives across APEC economies to reduce FLW</w:t>
      </w:r>
      <w:r w:rsidR="00221146" w:rsidRPr="008D7A18">
        <w:t xml:space="preserve">, and </w:t>
      </w:r>
      <w:r w:rsidR="000805D3" w:rsidRPr="008D7A18">
        <w:t xml:space="preserve">received responses from 15 </w:t>
      </w:r>
      <w:r w:rsidR="00221146" w:rsidRPr="008D7A18">
        <w:t xml:space="preserve">APEC </w:t>
      </w:r>
      <w:r w:rsidRPr="008D7A18">
        <w:t xml:space="preserve">member </w:t>
      </w:r>
      <w:r w:rsidR="000805D3" w:rsidRPr="008D7A18">
        <w:t>economies</w:t>
      </w:r>
      <w:r w:rsidR="000805D3" w:rsidRPr="0047441D">
        <w:t xml:space="preserve">. </w:t>
      </w:r>
    </w:p>
    <w:p w14:paraId="0B9DDE66" w14:textId="0515493A" w:rsidR="008E64E7" w:rsidRPr="0047441D" w:rsidRDefault="00816CBE" w:rsidP="00AD2D06">
      <w:pPr>
        <w:numPr>
          <w:ilvl w:val="0"/>
          <w:numId w:val="5"/>
        </w:numPr>
        <w:spacing w:after="120" w:line="264" w:lineRule="auto"/>
        <w:ind w:left="425" w:hanging="425"/>
        <w:jc w:val="both"/>
      </w:pPr>
      <w:r w:rsidRPr="0047441D">
        <w:t xml:space="preserve">We also note that </w:t>
      </w:r>
      <w:r w:rsidR="00221146">
        <w:t>the “</w:t>
      </w:r>
      <w:r w:rsidR="000805D3" w:rsidRPr="0047441D">
        <w:t xml:space="preserve">APEC Survey </w:t>
      </w:r>
      <w:r w:rsidR="004D7FD7" w:rsidRPr="0047441D">
        <w:t>on No-regret Solutions for Food Loss and Waste Reduction</w:t>
      </w:r>
      <w:r w:rsidR="00221146">
        <w:t>”</w:t>
      </w:r>
      <w:r w:rsidR="00912CF0" w:rsidRPr="0047441D">
        <w:t xml:space="preserve"> (hereafter </w:t>
      </w:r>
      <w:r w:rsidR="00221146">
        <w:t>“</w:t>
      </w:r>
      <w:r w:rsidR="000805D3" w:rsidRPr="0047441D">
        <w:t>second</w:t>
      </w:r>
      <w:r w:rsidRPr="0047441D">
        <w:t xml:space="preserve"> </w:t>
      </w:r>
      <w:r w:rsidR="00BD637C" w:rsidRPr="0047441D">
        <w:t xml:space="preserve">FLW </w:t>
      </w:r>
      <w:r w:rsidRPr="0047441D">
        <w:t>survey</w:t>
      </w:r>
      <w:r w:rsidR="00221146">
        <w:t>”</w:t>
      </w:r>
      <w:r w:rsidRPr="0047441D">
        <w:t>) wa</w:t>
      </w:r>
      <w:r w:rsidR="00474901" w:rsidRPr="0047441D">
        <w:t>s</w:t>
      </w:r>
      <w:r w:rsidR="00221146">
        <w:t xml:space="preserve"> </w:t>
      </w:r>
      <w:r w:rsidR="00221146" w:rsidRPr="0047441D">
        <w:t xml:space="preserve">carried </w:t>
      </w:r>
      <w:r w:rsidR="00221146">
        <w:t xml:space="preserve">out under </w:t>
      </w:r>
      <w:r w:rsidR="00221146" w:rsidRPr="007A0564">
        <w:rPr>
          <w:color w:val="000000" w:themeColor="text1"/>
        </w:rPr>
        <w:t>APEC MYP</w:t>
      </w:r>
      <w:r w:rsidR="00221146" w:rsidRPr="0047441D">
        <w:t xml:space="preserve"> </w:t>
      </w:r>
      <w:r w:rsidR="00221146" w:rsidRPr="007A0564">
        <w:rPr>
          <w:color w:val="000000" w:themeColor="text1"/>
        </w:rPr>
        <w:t>FLW</w:t>
      </w:r>
      <w:r w:rsidR="00474901" w:rsidRPr="0047441D">
        <w:t xml:space="preserve"> </w:t>
      </w:r>
      <w:r w:rsidR="00221146">
        <w:t xml:space="preserve">on a </w:t>
      </w:r>
      <w:r w:rsidR="00474901" w:rsidRPr="0047441D">
        <w:t xml:space="preserve">continuing </w:t>
      </w:r>
      <w:r w:rsidR="00221146">
        <w:t xml:space="preserve">basis </w:t>
      </w:r>
      <w:r w:rsidR="00474901" w:rsidRPr="0047441D">
        <w:t xml:space="preserve">to collect </w:t>
      </w:r>
      <w:r w:rsidR="00221146">
        <w:t xml:space="preserve">the responses of </w:t>
      </w:r>
      <w:r w:rsidR="00474901" w:rsidRPr="0047441D">
        <w:t>APEC economies on</w:t>
      </w:r>
      <w:r w:rsidR="008424BB">
        <w:t xml:space="preserve"> (1) their </w:t>
      </w:r>
      <w:r w:rsidR="00474901" w:rsidRPr="0047441D">
        <w:t>targets, policies and strategies for FLW reduction</w:t>
      </w:r>
      <w:r w:rsidR="008424BB">
        <w:t>;</w:t>
      </w:r>
      <w:r w:rsidR="00474901" w:rsidRPr="0047441D">
        <w:t xml:space="preserve"> </w:t>
      </w:r>
      <w:r w:rsidR="00BD637C" w:rsidRPr="0047441D">
        <w:t>(</w:t>
      </w:r>
      <w:r w:rsidR="00474901" w:rsidRPr="0047441D">
        <w:t xml:space="preserve">2) </w:t>
      </w:r>
      <w:r w:rsidR="008424BB">
        <w:t xml:space="preserve">their methodology for defining and measuring </w:t>
      </w:r>
      <w:r w:rsidR="00474901" w:rsidRPr="0047441D">
        <w:t>FLW</w:t>
      </w:r>
      <w:r w:rsidR="008424BB">
        <w:t>;</w:t>
      </w:r>
      <w:r w:rsidR="00474901" w:rsidRPr="0047441D">
        <w:t xml:space="preserve"> </w:t>
      </w:r>
      <w:r w:rsidR="00BD637C" w:rsidRPr="0047441D">
        <w:t>(</w:t>
      </w:r>
      <w:r w:rsidR="00474901" w:rsidRPr="0047441D">
        <w:t xml:space="preserve">3) </w:t>
      </w:r>
      <w:r w:rsidR="008424BB">
        <w:t xml:space="preserve">their </w:t>
      </w:r>
      <w:r w:rsidR="00474901" w:rsidRPr="0047441D">
        <w:t xml:space="preserve">FLW </w:t>
      </w:r>
      <w:r w:rsidR="00F203B2" w:rsidRPr="0047441D">
        <w:t xml:space="preserve">diversion potentials derived from </w:t>
      </w:r>
      <w:r w:rsidR="00F203B2" w:rsidRPr="0047441D">
        <w:lastRenderedPageBreak/>
        <w:t>no-regret solutions</w:t>
      </w:r>
      <w:r w:rsidR="00F203B2" w:rsidRPr="0047441D">
        <w:rPr>
          <w:rStyle w:val="aa"/>
        </w:rPr>
        <w:footnoteReference w:id="5"/>
      </w:r>
      <w:r w:rsidR="00F203B2" w:rsidRPr="0047441D">
        <w:t xml:space="preserve"> and </w:t>
      </w:r>
      <w:r w:rsidR="008424BB">
        <w:t xml:space="preserve">the </w:t>
      </w:r>
      <w:r w:rsidR="00F203B2" w:rsidRPr="0047441D">
        <w:t>implementation costs</w:t>
      </w:r>
      <w:r w:rsidR="008424BB">
        <w:t xml:space="preserve"> of those solutions; and</w:t>
      </w:r>
      <w:r w:rsidR="00F203B2" w:rsidRPr="0047441D">
        <w:t xml:space="preserve"> </w:t>
      </w:r>
      <w:r w:rsidR="00BD637C" w:rsidRPr="0047441D">
        <w:t>(</w:t>
      </w:r>
      <w:r w:rsidR="00F203B2" w:rsidRPr="0047441D">
        <w:t xml:space="preserve">4) </w:t>
      </w:r>
      <w:r w:rsidR="008424BB">
        <w:t>examples of p</w:t>
      </w:r>
      <w:r w:rsidR="00F203B2" w:rsidRPr="0047441D">
        <w:t>ublic-private partnership</w:t>
      </w:r>
      <w:r w:rsidR="008424BB">
        <w:t>s</w:t>
      </w:r>
      <w:r w:rsidR="00F203B2" w:rsidRPr="0047441D">
        <w:t xml:space="preserve"> (PPP) </w:t>
      </w:r>
      <w:r w:rsidR="008424BB">
        <w:t xml:space="preserve">to reduce </w:t>
      </w:r>
      <w:r w:rsidR="00F203B2" w:rsidRPr="0047441D">
        <w:t>FLW</w:t>
      </w:r>
      <w:r w:rsidR="008424BB" w:rsidRPr="008D7A18">
        <w:t xml:space="preserve">; this </w:t>
      </w:r>
      <w:r w:rsidR="00F203B2" w:rsidRPr="008D7A18">
        <w:t xml:space="preserve">survey received </w:t>
      </w:r>
      <w:r w:rsidR="00912CF0" w:rsidRPr="008D7A18">
        <w:t xml:space="preserve">responses from </w:t>
      </w:r>
      <w:r w:rsidR="008424BB" w:rsidRPr="008D7A18">
        <w:t xml:space="preserve">15 APEC </w:t>
      </w:r>
      <w:r w:rsidR="00912CF0" w:rsidRPr="008D7A18">
        <w:t>member economy representatives</w:t>
      </w:r>
      <w:r w:rsidR="00F203B2" w:rsidRPr="0047441D">
        <w:t>.</w:t>
      </w:r>
    </w:p>
    <w:p w14:paraId="50D8C643" w14:textId="49003CE4" w:rsidR="00221146" w:rsidRDefault="00221146" w:rsidP="00B2015A">
      <w:pPr>
        <w:numPr>
          <w:ilvl w:val="0"/>
          <w:numId w:val="5"/>
        </w:numPr>
        <w:spacing w:after="120" w:line="264" w:lineRule="auto"/>
        <w:ind w:left="425" w:hanging="425"/>
        <w:jc w:val="both"/>
      </w:pPr>
      <w:r w:rsidRPr="009009A9">
        <w:rPr>
          <w:color w:val="000000" w:themeColor="text1"/>
        </w:rPr>
        <w:t xml:space="preserve">We </w:t>
      </w:r>
      <w:r>
        <w:rPr>
          <w:color w:val="000000" w:themeColor="text1"/>
        </w:rPr>
        <w:t>note</w:t>
      </w:r>
      <w:r w:rsidR="008424BB">
        <w:rPr>
          <w:color w:val="000000" w:themeColor="text1"/>
        </w:rPr>
        <w:t xml:space="preserve"> </w:t>
      </w:r>
      <w:r w:rsidRPr="009009A9">
        <w:rPr>
          <w:color w:val="000000" w:themeColor="text1"/>
        </w:rPr>
        <w:t>that</w:t>
      </w:r>
      <w:r w:rsidRPr="00F0162B">
        <w:rPr>
          <w:rFonts w:hint="eastAsia"/>
          <w:color w:val="000000"/>
          <w:lang w:val="en"/>
        </w:rPr>
        <w:t xml:space="preserve"> </w:t>
      </w:r>
      <w:r>
        <w:rPr>
          <w:color w:val="000000"/>
          <w:lang w:val="en"/>
        </w:rPr>
        <w:t>the “</w:t>
      </w:r>
      <w:r w:rsidRPr="00F0162B">
        <w:rPr>
          <w:rFonts w:hint="eastAsia"/>
          <w:color w:val="000000"/>
          <w:lang w:val="en"/>
        </w:rPr>
        <w:t xml:space="preserve">APEC </w:t>
      </w:r>
      <w:r>
        <w:rPr>
          <w:color w:val="000000"/>
          <w:lang w:val="en"/>
        </w:rPr>
        <w:t xml:space="preserve">Project </w:t>
      </w:r>
      <w:r w:rsidRPr="00B709B4">
        <w:rPr>
          <w:color w:val="000000"/>
          <w:lang w:val="en"/>
        </w:rPr>
        <w:t>on Food L</w:t>
      </w:r>
      <w:r>
        <w:rPr>
          <w:color w:val="000000"/>
          <w:lang w:val="en"/>
        </w:rPr>
        <w:t>o</w:t>
      </w:r>
      <w:r w:rsidRPr="00B709B4">
        <w:rPr>
          <w:color w:val="000000"/>
          <w:lang w:val="en"/>
        </w:rPr>
        <w:t>ss and Waste System</w:t>
      </w:r>
      <w:r w:rsidR="00D64AA8">
        <w:rPr>
          <w:color w:val="000000"/>
        </w:rPr>
        <w:t>”</w:t>
      </w:r>
      <w:r>
        <w:rPr>
          <w:color w:val="000000"/>
          <w:lang w:val="en"/>
        </w:rPr>
        <w:t xml:space="preserve"> (hereafter “A</w:t>
      </w:r>
      <w:r>
        <w:rPr>
          <w:rFonts w:hint="eastAsia"/>
          <w:color w:val="000000"/>
          <w:lang w:val="en"/>
        </w:rPr>
        <w:t>PEC</w:t>
      </w:r>
      <w:r>
        <w:rPr>
          <w:color w:val="000000"/>
          <w:lang w:val="en"/>
        </w:rPr>
        <w:t>-</w:t>
      </w:r>
      <w:r>
        <w:rPr>
          <w:rFonts w:hint="eastAsia"/>
          <w:color w:val="000000"/>
          <w:lang w:val="en"/>
        </w:rPr>
        <w:t>FLOWS</w:t>
      </w:r>
      <w:r>
        <w:rPr>
          <w:color w:val="000000"/>
          <w:lang w:val="en"/>
        </w:rPr>
        <w:t>”</w:t>
      </w:r>
      <w:r w:rsidRPr="00F0162B">
        <w:rPr>
          <w:rFonts w:hint="eastAsia"/>
          <w:color w:val="000000"/>
          <w:lang w:val="en"/>
        </w:rPr>
        <w:t xml:space="preserve">) </w:t>
      </w:r>
      <w:r w:rsidR="008424BB">
        <w:rPr>
          <w:color w:val="000000"/>
          <w:lang w:val="en"/>
        </w:rPr>
        <w:t xml:space="preserve">was </w:t>
      </w:r>
      <w:r>
        <w:rPr>
          <w:color w:val="000000"/>
          <w:lang w:val="en"/>
        </w:rPr>
        <w:t xml:space="preserve">established as </w:t>
      </w:r>
      <w:r w:rsidRPr="00F0162B">
        <w:rPr>
          <w:rFonts w:hint="eastAsia"/>
          <w:color w:val="000000"/>
          <w:lang w:val="en"/>
        </w:rPr>
        <w:t>a</w:t>
      </w:r>
      <w:r>
        <w:rPr>
          <w:color w:val="000000"/>
          <w:lang w:val="en"/>
        </w:rPr>
        <w:t xml:space="preserve"> public </w:t>
      </w:r>
      <w:r w:rsidR="000639FC">
        <w:rPr>
          <w:color w:val="000000"/>
          <w:lang w:val="en"/>
        </w:rPr>
        <w:t>platform</w:t>
      </w:r>
      <w:r>
        <w:rPr>
          <w:color w:val="000000"/>
          <w:lang w:val="en"/>
        </w:rPr>
        <w:t xml:space="preserve"> </w:t>
      </w:r>
      <w:r w:rsidRPr="00F0162B">
        <w:rPr>
          <w:rFonts w:hint="eastAsia"/>
          <w:color w:val="000000"/>
          <w:lang w:val="en"/>
        </w:rPr>
        <w:t>to</w:t>
      </w:r>
      <w:r>
        <w:rPr>
          <w:color w:val="000000"/>
          <w:lang w:val="en"/>
        </w:rPr>
        <w:t xml:space="preserve"> share FLW quantification methods, to disseminate best practices and policies for reducing FLW, and to publicize the results of </w:t>
      </w:r>
      <w:r w:rsidRPr="00A86E85">
        <w:t xml:space="preserve">expert consultations </w:t>
      </w:r>
      <w:r>
        <w:rPr>
          <w:lang w:val="en"/>
        </w:rPr>
        <w:t xml:space="preserve">and other </w:t>
      </w:r>
      <w:r w:rsidRPr="00F0162B">
        <w:rPr>
          <w:rFonts w:hint="eastAsia"/>
          <w:color w:val="000000"/>
          <w:lang w:val="en"/>
        </w:rPr>
        <w:t>capacity</w:t>
      </w:r>
      <w:r>
        <w:rPr>
          <w:color w:val="000000"/>
          <w:lang w:val="en"/>
        </w:rPr>
        <w:t>-</w:t>
      </w:r>
      <w:r w:rsidRPr="00F0162B">
        <w:rPr>
          <w:rFonts w:hint="eastAsia"/>
          <w:color w:val="000000"/>
          <w:lang w:val="en"/>
        </w:rPr>
        <w:t xml:space="preserve">building </w:t>
      </w:r>
      <w:r>
        <w:rPr>
          <w:color w:val="000000"/>
          <w:lang w:val="en"/>
        </w:rPr>
        <w:t xml:space="preserve">activities attended by </w:t>
      </w:r>
      <w:r w:rsidRPr="00F0162B">
        <w:rPr>
          <w:rFonts w:hint="eastAsia"/>
          <w:color w:val="000000"/>
          <w:lang w:val="en"/>
        </w:rPr>
        <w:t>APEC member econom</w:t>
      </w:r>
      <w:r>
        <w:rPr>
          <w:color w:val="000000"/>
          <w:lang w:val="en"/>
        </w:rPr>
        <w:t>y representatives</w:t>
      </w:r>
      <w:r w:rsidRPr="00F0162B">
        <w:rPr>
          <w:rFonts w:hint="eastAsia"/>
          <w:color w:val="000000"/>
          <w:lang w:val="en"/>
        </w:rPr>
        <w:t xml:space="preserve"> </w:t>
      </w:r>
      <w:r>
        <w:rPr>
          <w:color w:val="000000"/>
          <w:lang w:val="en"/>
        </w:rPr>
        <w:t>for</w:t>
      </w:r>
      <w:r w:rsidRPr="00F0162B">
        <w:rPr>
          <w:rFonts w:hint="eastAsia"/>
          <w:color w:val="000000"/>
          <w:lang w:val="en"/>
        </w:rPr>
        <w:t xml:space="preserve"> reducing </w:t>
      </w:r>
      <w:r>
        <w:rPr>
          <w:color w:val="000000"/>
          <w:lang w:val="en"/>
        </w:rPr>
        <w:t xml:space="preserve">losses and waste of </w:t>
      </w:r>
      <w:r w:rsidRPr="00260C53">
        <w:t xml:space="preserve">grain, vegetables, fruits, </w:t>
      </w:r>
      <w:r w:rsidR="008424BB">
        <w:t xml:space="preserve">fishery and livestock products </w:t>
      </w:r>
      <w:r>
        <w:rPr>
          <w:color w:val="000000"/>
          <w:lang w:val="en"/>
        </w:rPr>
        <w:t xml:space="preserve">at </w:t>
      </w:r>
      <w:r w:rsidR="008424BB">
        <w:rPr>
          <w:color w:val="000000"/>
          <w:lang w:val="en"/>
        </w:rPr>
        <w:t xml:space="preserve">each </w:t>
      </w:r>
      <w:r w:rsidRPr="00F0162B">
        <w:rPr>
          <w:rFonts w:hint="eastAsia"/>
          <w:color w:val="000000"/>
          <w:lang w:val="en"/>
        </w:rPr>
        <w:t>stage</w:t>
      </w:r>
      <w:r w:rsidR="008424BB">
        <w:rPr>
          <w:color w:val="000000"/>
          <w:lang w:val="en"/>
        </w:rPr>
        <w:t xml:space="preserve"> </w:t>
      </w:r>
      <w:r w:rsidRPr="00F0162B">
        <w:rPr>
          <w:rFonts w:hint="eastAsia"/>
          <w:color w:val="000000"/>
          <w:lang w:val="en"/>
        </w:rPr>
        <w:t>of the supply chain</w:t>
      </w:r>
      <w:r w:rsidRPr="00260C53">
        <w:rPr>
          <w:lang w:val="en"/>
        </w:rPr>
        <w:t xml:space="preserve">. </w:t>
      </w:r>
    </w:p>
    <w:p w14:paraId="20750EC3" w14:textId="4835DE00" w:rsidR="007A0564" w:rsidRPr="00297574" w:rsidRDefault="005D63A5" w:rsidP="007A0564">
      <w:pPr>
        <w:numPr>
          <w:ilvl w:val="0"/>
          <w:numId w:val="5"/>
        </w:numPr>
        <w:spacing w:after="120" w:line="264" w:lineRule="auto"/>
        <w:ind w:left="425" w:hanging="425"/>
        <w:jc w:val="both"/>
      </w:pPr>
      <w:r w:rsidRPr="00297574">
        <w:t xml:space="preserve">We acknowledge the close collaboration </w:t>
      </w:r>
      <w:r w:rsidR="008424BB">
        <w:t>between</w:t>
      </w:r>
      <w:r w:rsidR="008424BB" w:rsidRPr="00297574">
        <w:t xml:space="preserve"> </w:t>
      </w:r>
      <w:r w:rsidRPr="00297574">
        <w:t xml:space="preserve">ATCWG, OFWG and PPFS </w:t>
      </w:r>
      <w:r w:rsidR="008424BB">
        <w:t xml:space="preserve">in carrying out these </w:t>
      </w:r>
      <w:r w:rsidRPr="00297574">
        <w:t xml:space="preserve">activities </w:t>
      </w:r>
      <w:r w:rsidR="008424BB">
        <w:t xml:space="preserve">for reducing </w:t>
      </w:r>
      <w:r w:rsidRPr="00297574">
        <w:t xml:space="preserve">FLW and </w:t>
      </w:r>
      <w:r w:rsidR="008424BB">
        <w:t xml:space="preserve">enhancing </w:t>
      </w:r>
      <w:r w:rsidRPr="00297574">
        <w:t xml:space="preserve">food security </w:t>
      </w:r>
      <w:r w:rsidR="008424BB">
        <w:t xml:space="preserve">across </w:t>
      </w:r>
      <w:r w:rsidRPr="00297574">
        <w:t>APEC.</w:t>
      </w:r>
    </w:p>
    <w:p w14:paraId="481DC7CF" w14:textId="64E1A243" w:rsidR="001C0C0E" w:rsidRPr="00297574" w:rsidRDefault="00715DB3">
      <w:pPr>
        <w:numPr>
          <w:ilvl w:val="0"/>
          <w:numId w:val="5"/>
        </w:numPr>
        <w:spacing w:after="120" w:line="264" w:lineRule="auto"/>
        <w:ind w:left="425" w:hanging="425"/>
        <w:jc w:val="both"/>
      </w:pPr>
      <w:r w:rsidRPr="00297574">
        <w:t>We also acknowledge</w:t>
      </w:r>
      <w:r w:rsidR="000655AF" w:rsidRPr="00297574">
        <w:t xml:space="preserve"> </w:t>
      </w:r>
      <w:r w:rsidR="00FC41F9">
        <w:t xml:space="preserve">and value </w:t>
      </w:r>
      <w:r w:rsidR="000655AF" w:rsidRPr="00297574">
        <w:t>the contribution</w:t>
      </w:r>
      <w:r w:rsidR="00947A7C" w:rsidRPr="00297574">
        <w:t>s</w:t>
      </w:r>
      <w:r w:rsidR="000655AF" w:rsidRPr="00297574">
        <w:t xml:space="preserve"> </w:t>
      </w:r>
      <w:r w:rsidR="00FC41F9">
        <w:t>to these goals made by</w:t>
      </w:r>
      <w:r w:rsidR="00FC41F9" w:rsidRPr="00297574">
        <w:t xml:space="preserve"> </w:t>
      </w:r>
      <w:r w:rsidR="000655AF" w:rsidRPr="00297574">
        <w:t xml:space="preserve">the </w:t>
      </w:r>
      <w:r w:rsidR="000639FC" w:rsidRPr="00297574">
        <w:t>APEC project “High Level Public-Private Forum on Cold Chain to Strengthen Agriculture &amp; Food’s Global Value Chain</w:t>
      </w:r>
      <w:r w:rsidR="000639FC">
        <w:t>,</w:t>
      </w:r>
      <w:r w:rsidR="000639FC" w:rsidRPr="00297574">
        <w:t>”</w:t>
      </w:r>
      <w:r w:rsidR="000639FC">
        <w:t xml:space="preserve"> as well as by the </w:t>
      </w:r>
      <w:r w:rsidR="000655AF" w:rsidRPr="00297574">
        <w:t xml:space="preserve">APEC project “Enhancing Connectivity of APEC Grain Standards &amp; Small Farmer and Small and Medium-Sized Enterprises’ Food Loss-Reduction Technology and Experience,” </w:t>
      </w:r>
      <w:r w:rsidR="00FC41F9">
        <w:t>which</w:t>
      </w:r>
      <w:r w:rsidR="000639FC">
        <w:t>,</w:t>
      </w:r>
      <w:r w:rsidR="00FC41F9">
        <w:t xml:space="preserve"> </w:t>
      </w:r>
      <w:r w:rsidR="000639FC">
        <w:t xml:space="preserve">through </w:t>
      </w:r>
      <w:r w:rsidR="00FC41F9">
        <w:t xml:space="preserve">enhancing connectivity of </w:t>
      </w:r>
      <w:r w:rsidR="000655AF" w:rsidRPr="00297574">
        <w:t xml:space="preserve">technical quality standards </w:t>
      </w:r>
      <w:r w:rsidR="00FC41F9">
        <w:t>for grain across APEC economies</w:t>
      </w:r>
      <w:r w:rsidR="000639FC">
        <w:t>,</w:t>
      </w:r>
      <w:r w:rsidR="00FC41F9">
        <w:t xml:space="preserve"> has </w:t>
      </w:r>
      <w:r w:rsidR="000655AF" w:rsidRPr="00297574">
        <w:t>contribute</w:t>
      </w:r>
      <w:r w:rsidR="00FC41F9">
        <w:t>d</w:t>
      </w:r>
      <w:r w:rsidR="000655AF" w:rsidRPr="00297574">
        <w:t xml:space="preserve"> to facilitating grain trade, supporting industrial development, promoting technical progress, </w:t>
      </w:r>
      <w:r w:rsidR="00FC41F9">
        <w:t xml:space="preserve">and </w:t>
      </w:r>
      <w:r w:rsidR="000655AF" w:rsidRPr="00297574">
        <w:t>reduc</w:t>
      </w:r>
      <w:r w:rsidR="00FC41F9">
        <w:t>ing</w:t>
      </w:r>
      <w:r w:rsidR="000655AF" w:rsidRPr="00297574">
        <w:t xml:space="preserve"> the grain lost and wasted during trade among member economies</w:t>
      </w:r>
      <w:r w:rsidR="000639FC">
        <w:t>.</w:t>
      </w:r>
      <w:r w:rsidR="001C0C0E" w:rsidRPr="00297574">
        <w:t xml:space="preserve"> </w:t>
      </w:r>
    </w:p>
    <w:p w14:paraId="5BE9D407" w14:textId="388F9149" w:rsidR="007A0564" w:rsidRPr="0026202D" w:rsidRDefault="007A0564" w:rsidP="000F077C">
      <w:pPr>
        <w:pStyle w:val="a7"/>
        <w:numPr>
          <w:ilvl w:val="0"/>
          <w:numId w:val="15"/>
        </w:numPr>
        <w:spacing w:after="120" w:line="264" w:lineRule="auto"/>
        <w:ind w:leftChars="0" w:left="425" w:hanging="450"/>
        <w:jc w:val="both"/>
        <w:rPr>
          <w:color w:val="000000" w:themeColor="text1"/>
        </w:rPr>
      </w:pPr>
      <w:r w:rsidRPr="0026202D">
        <w:rPr>
          <w:b/>
          <w:color w:val="000000" w:themeColor="text1"/>
        </w:rPr>
        <w:t xml:space="preserve">Findings </w:t>
      </w:r>
      <w:r w:rsidR="00D64AA8">
        <w:rPr>
          <w:b/>
          <w:color w:val="000000" w:themeColor="text1"/>
        </w:rPr>
        <w:t>of</w:t>
      </w:r>
      <w:r w:rsidR="00FC41F9">
        <w:rPr>
          <w:b/>
          <w:color w:val="000000" w:themeColor="text1"/>
        </w:rPr>
        <w:t xml:space="preserve"> F</w:t>
      </w:r>
      <w:r w:rsidRPr="0026202D">
        <w:rPr>
          <w:b/>
          <w:color w:val="000000" w:themeColor="text1"/>
        </w:rPr>
        <w:t xml:space="preserve">ood </w:t>
      </w:r>
      <w:r w:rsidR="00FC41F9">
        <w:rPr>
          <w:b/>
          <w:color w:val="000000" w:themeColor="text1"/>
        </w:rPr>
        <w:t xml:space="preserve">Losses </w:t>
      </w:r>
      <w:r w:rsidRPr="0026202D">
        <w:rPr>
          <w:b/>
          <w:color w:val="000000" w:themeColor="text1"/>
        </w:rPr>
        <w:t xml:space="preserve">and </w:t>
      </w:r>
      <w:r w:rsidR="00FC41F9">
        <w:rPr>
          <w:b/>
          <w:color w:val="000000" w:themeColor="text1"/>
        </w:rPr>
        <w:t>W</w:t>
      </w:r>
      <w:r w:rsidRPr="0026202D">
        <w:rPr>
          <w:b/>
          <w:color w:val="000000" w:themeColor="text1"/>
        </w:rPr>
        <w:t xml:space="preserve">aste </w:t>
      </w:r>
      <w:r w:rsidR="00FC41F9">
        <w:rPr>
          <w:b/>
          <w:color w:val="000000" w:themeColor="text1"/>
        </w:rPr>
        <w:t>R</w:t>
      </w:r>
      <w:r w:rsidRPr="0026202D">
        <w:rPr>
          <w:b/>
          <w:color w:val="000000" w:themeColor="text1"/>
        </w:rPr>
        <w:t xml:space="preserve">eduction </w:t>
      </w:r>
      <w:r w:rsidR="00FC41F9">
        <w:rPr>
          <w:b/>
          <w:color w:val="000000" w:themeColor="text1"/>
        </w:rPr>
        <w:t>A</w:t>
      </w:r>
      <w:r w:rsidRPr="0026202D">
        <w:rPr>
          <w:b/>
          <w:color w:val="000000" w:themeColor="text1"/>
        </w:rPr>
        <w:t xml:space="preserve">ctivities in APEC </w:t>
      </w:r>
      <w:r w:rsidR="00FC41F9">
        <w:rPr>
          <w:b/>
          <w:color w:val="000000" w:themeColor="text1"/>
        </w:rPr>
        <w:t>E</w:t>
      </w:r>
      <w:r w:rsidRPr="0026202D">
        <w:rPr>
          <w:b/>
          <w:color w:val="000000" w:themeColor="text1"/>
        </w:rPr>
        <w:t>conomies</w:t>
      </w:r>
    </w:p>
    <w:p w14:paraId="5377FD07" w14:textId="51EB6B8D" w:rsidR="00732272" w:rsidRDefault="00E033F7" w:rsidP="00EC4E54">
      <w:pPr>
        <w:numPr>
          <w:ilvl w:val="0"/>
          <w:numId w:val="5"/>
        </w:numPr>
        <w:spacing w:after="120" w:line="264" w:lineRule="auto"/>
        <w:ind w:left="425" w:hanging="425"/>
        <w:jc w:val="both"/>
      </w:pPr>
      <w:r w:rsidRPr="00415FE5">
        <w:t xml:space="preserve">We </w:t>
      </w:r>
      <w:r w:rsidR="000F077C">
        <w:t xml:space="preserve">have </w:t>
      </w:r>
      <w:r w:rsidR="00FC41F9">
        <w:t>found</w:t>
      </w:r>
      <w:r w:rsidR="00FC41F9" w:rsidRPr="00415FE5">
        <w:t xml:space="preserve"> </w:t>
      </w:r>
      <w:r w:rsidRPr="00415FE5">
        <w:t>that</w:t>
      </w:r>
      <w:r w:rsidR="0026202D" w:rsidRPr="00415FE5">
        <w:t xml:space="preserve"> </w:t>
      </w:r>
      <w:r w:rsidR="00732272">
        <w:t xml:space="preserve">losses and waste of </w:t>
      </w:r>
      <w:r w:rsidR="00732272" w:rsidRPr="00415FE5">
        <w:t>fruit</w:t>
      </w:r>
      <w:r w:rsidR="00732272">
        <w:t>s</w:t>
      </w:r>
      <w:r w:rsidR="00732272" w:rsidRPr="00415FE5">
        <w:t xml:space="preserve"> and vegetables in APEC economies</w:t>
      </w:r>
      <w:r w:rsidR="00732272">
        <w:t xml:space="preserve"> </w:t>
      </w:r>
      <w:r w:rsidR="000F077C">
        <w:t xml:space="preserve">are </w:t>
      </w:r>
      <w:r w:rsidR="00732272" w:rsidRPr="00415FE5">
        <w:t>45.38% and 42.64%</w:t>
      </w:r>
      <w:r w:rsidR="00FC41F9" w:rsidRPr="00415FE5">
        <w:t>, respectively</w:t>
      </w:r>
      <w:r w:rsidR="00FC41F9">
        <w:t>,</w:t>
      </w:r>
      <w:r w:rsidR="00FC41F9" w:rsidRPr="00415FE5">
        <w:t xml:space="preserve"> </w:t>
      </w:r>
      <w:r w:rsidR="00732272">
        <w:t xml:space="preserve">because </w:t>
      </w:r>
      <w:r w:rsidR="000F077C">
        <w:t xml:space="preserve">of the </w:t>
      </w:r>
      <w:r w:rsidR="00732272">
        <w:t xml:space="preserve">relatively short </w:t>
      </w:r>
      <w:r w:rsidR="00FC41F9" w:rsidRPr="00415FE5">
        <w:t>shelf</w:t>
      </w:r>
      <w:r w:rsidR="00FC41F9">
        <w:t>-</w:t>
      </w:r>
      <w:r w:rsidR="00FC41F9" w:rsidRPr="00415FE5">
        <w:t>li</w:t>
      </w:r>
      <w:r w:rsidR="00FC41F9">
        <w:t>ves</w:t>
      </w:r>
      <w:r w:rsidR="00FC41F9" w:rsidRPr="00415FE5">
        <w:t xml:space="preserve"> and high</w:t>
      </w:r>
      <w:r w:rsidR="00732272">
        <w:t xml:space="preserve"> </w:t>
      </w:r>
      <w:r w:rsidR="00FC41F9" w:rsidRPr="00415FE5">
        <w:t>quality</w:t>
      </w:r>
      <w:r w:rsidR="00732272">
        <w:t xml:space="preserve"> standards</w:t>
      </w:r>
      <w:r w:rsidR="000F077C">
        <w:t xml:space="preserve"> for these products</w:t>
      </w:r>
      <w:r w:rsidR="00732272">
        <w:t>; losses and waste of f</w:t>
      </w:r>
      <w:r w:rsidR="00EC4E54" w:rsidRPr="00415FE5">
        <w:t xml:space="preserve">ish and seafood </w:t>
      </w:r>
      <w:r w:rsidR="00732272">
        <w:t xml:space="preserve">stands at </w:t>
      </w:r>
      <w:r w:rsidR="00EC4E54" w:rsidRPr="00415FE5">
        <w:t>39.20%</w:t>
      </w:r>
      <w:r w:rsidR="00732272">
        <w:t>;</w:t>
      </w:r>
      <w:r w:rsidR="00EC4E54" w:rsidRPr="00415FE5">
        <w:t xml:space="preserve"> </w:t>
      </w:r>
      <w:r w:rsidR="00732272">
        <w:t xml:space="preserve">losses and waste of meat averages </w:t>
      </w:r>
      <w:r w:rsidR="00EC4E54" w:rsidRPr="00415FE5">
        <w:t>21.14%</w:t>
      </w:r>
      <w:r w:rsidR="00732272">
        <w:t>;</w:t>
      </w:r>
      <w:r w:rsidR="00EC4E54" w:rsidRPr="00415FE5">
        <w:t xml:space="preserve"> </w:t>
      </w:r>
      <w:r w:rsidR="00732272">
        <w:t>losses and waste of m</w:t>
      </w:r>
      <w:r w:rsidR="00EC4E54" w:rsidRPr="00415FE5">
        <w:t>ilk and dairy product</w:t>
      </w:r>
      <w:r w:rsidR="00732272">
        <w:t>s</w:t>
      </w:r>
      <w:r w:rsidR="00EC4E54" w:rsidRPr="00415FE5">
        <w:t xml:space="preserve"> </w:t>
      </w:r>
      <w:r w:rsidR="00732272">
        <w:t xml:space="preserve">is </w:t>
      </w:r>
      <w:r w:rsidR="00EC4E54" w:rsidRPr="00415FE5">
        <w:t>17.44%</w:t>
      </w:r>
      <w:r w:rsidR="00732272">
        <w:t>; losses and waste of</w:t>
      </w:r>
      <w:r w:rsidR="00EC4E54" w:rsidRPr="00415FE5">
        <w:t xml:space="preserve"> eggs </w:t>
      </w:r>
      <w:r w:rsidR="00732272">
        <w:t xml:space="preserve">is </w:t>
      </w:r>
      <w:r w:rsidR="00EC4E54" w:rsidRPr="00415FE5">
        <w:t>16.45%</w:t>
      </w:r>
      <w:r w:rsidR="00732272">
        <w:t xml:space="preserve">; and losses and waste of </w:t>
      </w:r>
      <w:r w:rsidR="000B544F" w:rsidRPr="00415FE5">
        <w:t xml:space="preserve">cereals </w:t>
      </w:r>
      <w:r w:rsidR="00732272">
        <w:t>is the lowest of all product categories examined,</w:t>
      </w:r>
      <w:r w:rsidR="000B544F" w:rsidRPr="00415FE5">
        <w:t xml:space="preserve"> </w:t>
      </w:r>
      <w:r w:rsidR="00732272">
        <w:t xml:space="preserve">with losses and waste of </w:t>
      </w:r>
      <w:r w:rsidR="000B544F" w:rsidRPr="00415FE5">
        <w:t>m</w:t>
      </w:r>
      <w:r w:rsidR="00EC4E54" w:rsidRPr="00415FE5">
        <w:t xml:space="preserve">aize </w:t>
      </w:r>
      <w:r w:rsidR="00732272">
        <w:t xml:space="preserve">at </w:t>
      </w:r>
      <w:r w:rsidR="00EC4E54" w:rsidRPr="00415FE5">
        <w:t>7.61%</w:t>
      </w:r>
      <w:r w:rsidR="00732272">
        <w:t>, and</w:t>
      </w:r>
      <w:r w:rsidR="00EC4E54" w:rsidRPr="00415FE5">
        <w:t xml:space="preserve"> wheat and rice </w:t>
      </w:r>
      <w:r w:rsidR="00732272">
        <w:t xml:space="preserve">between </w:t>
      </w:r>
      <w:r w:rsidR="00EC4E54" w:rsidRPr="00415FE5">
        <w:t>15% and 19%.</w:t>
      </w:r>
      <w:r w:rsidR="000B544F" w:rsidRPr="00415FE5">
        <w:t xml:space="preserve"> </w:t>
      </w:r>
    </w:p>
    <w:p w14:paraId="21316107" w14:textId="7E33A0E4" w:rsidR="00EC4E54" w:rsidRPr="00415FE5" w:rsidRDefault="00732272" w:rsidP="00EC4E54">
      <w:pPr>
        <w:numPr>
          <w:ilvl w:val="0"/>
          <w:numId w:val="5"/>
        </w:numPr>
        <w:spacing w:after="120" w:line="264" w:lineRule="auto"/>
        <w:ind w:left="425" w:hanging="425"/>
        <w:jc w:val="both"/>
      </w:pPr>
      <w:r>
        <w:t xml:space="preserve">We </w:t>
      </w:r>
      <w:r w:rsidR="000F077C">
        <w:t xml:space="preserve">have </w:t>
      </w:r>
      <w:r>
        <w:t>also found that</w:t>
      </w:r>
      <w:r w:rsidR="000F077C">
        <w:t xml:space="preserve"> </w:t>
      </w:r>
      <w:r>
        <w:t>losses and waste</w:t>
      </w:r>
      <w:r w:rsidR="00E96624">
        <w:t xml:space="preserve"> of each given </w:t>
      </w:r>
      <w:r>
        <w:t xml:space="preserve">type of product </w:t>
      </w:r>
      <w:r w:rsidR="00E96624">
        <w:t xml:space="preserve">occur differentially across the various </w:t>
      </w:r>
      <w:r w:rsidR="000F077C">
        <w:t xml:space="preserve">stages of the supply chain, with proportionally more </w:t>
      </w:r>
      <w:r w:rsidR="00EC4E54" w:rsidRPr="00415FE5">
        <w:t xml:space="preserve">fruits and vegetables </w:t>
      </w:r>
      <w:r w:rsidR="000F077C">
        <w:t>lost or wasted during p</w:t>
      </w:r>
      <w:r w:rsidR="00EC4E54" w:rsidRPr="00415FE5">
        <w:t>roduction</w:t>
      </w:r>
      <w:r w:rsidR="000F077C">
        <w:t>, p</w:t>
      </w:r>
      <w:r w:rsidR="00EC4E54" w:rsidRPr="00415FE5">
        <w:t xml:space="preserve">rocessing </w:t>
      </w:r>
      <w:r w:rsidR="000F077C">
        <w:t>and p</w:t>
      </w:r>
      <w:r w:rsidR="00EC4E54" w:rsidRPr="00415FE5">
        <w:t>acking</w:t>
      </w:r>
      <w:r w:rsidR="000F077C">
        <w:t xml:space="preserve">, </w:t>
      </w:r>
      <w:r w:rsidR="00E96624">
        <w:t xml:space="preserve">and </w:t>
      </w:r>
      <w:r w:rsidR="000F077C">
        <w:t xml:space="preserve">proportionally more </w:t>
      </w:r>
      <w:r w:rsidR="00EC4E54" w:rsidRPr="00415FE5">
        <w:t xml:space="preserve">seafood and meat </w:t>
      </w:r>
      <w:r w:rsidR="000F077C">
        <w:t xml:space="preserve">wasted </w:t>
      </w:r>
      <w:r w:rsidR="00EC4E54" w:rsidRPr="00415FE5">
        <w:t>in distribution</w:t>
      </w:r>
      <w:r w:rsidR="000B544F" w:rsidRPr="00415FE5">
        <w:t>.</w:t>
      </w:r>
      <w:r w:rsidRPr="00415FE5" w:rsidDel="00732272">
        <w:rPr>
          <w:rStyle w:val="aa"/>
        </w:rPr>
        <w:t xml:space="preserve"> </w:t>
      </w:r>
      <w:r>
        <w:t xml:space="preserve"> </w:t>
      </w:r>
    </w:p>
    <w:p w14:paraId="331E8B70" w14:textId="63B78679" w:rsidR="00FE74F9" w:rsidRPr="00415FE5" w:rsidRDefault="00E96624" w:rsidP="005C54EB">
      <w:pPr>
        <w:numPr>
          <w:ilvl w:val="0"/>
          <w:numId w:val="5"/>
        </w:numPr>
        <w:spacing w:after="120" w:line="264" w:lineRule="auto"/>
        <w:ind w:left="425" w:hanging="425"/>
        <w:jc w:val="both"/>
      </w:pPr>
      <w:r>
        <w:lastRenderedPageBreak/>
        <w:t xml:space="preserve">We have found, in the </w:t>
      </w:r>
      <w:r w:rsidR="00990C83" w:rsidRPr="00A45DF2">
        <w:rPr>
          <w:rFonts w:hint="eastAsia"/>
        </w:rPr>
        <w:t xml:space="preserve">first </w:t>
      </w:r>
      <w:r w:rsidR="00E033F7" w:rsidRPr="00A45DF2">
        <w:t xml:space="preserve">FLW </w:t>
      </w:r>
      <w:r w:rsidR="00990C83" w:rsidRPr="00A45DF2">
        <w:rPr>
          <w:rFonts w:hint="eastAsia"/>
        </w:rPr>
        <w:t>survey</w:t>
      </w:r>
      <w:r>
        <w:t>,</w:t>
      </w:r>
      <w:r w:rsidR="00990C83" w:rsidRPr="00A45DF2">
        <w:t xml:space="preserve"> </w:t>
      </w:r>
      <w:r w:rsidR="00676A41" w:rsidRPr="00A45DF2">
        <w:t xml:space="preserve">that </w:t>
      </w:r>
      <w:r>
        <w:t>there is an average of</w:t>
      </w:r>
      <w:r w:rsidR="00676A41" w:rsidRPr="00A45DF2">
        <w:t xml:space="preserve"> 4.3 </w:t>
      </w:r>
      <w:r>
        <w:t xml:space="preserve">FLW reduction </w:t>
      </w:r>
      <w:r w:rsidR="00676A41" w:rsidRPr="00A45DF2">
        <w:t xml:space="preserve">programs </w:t>
      </w:r>
      <w:r>
        <w:t xml:space="preserve">per APEC member economy; that </w:t>
      </w:r>
      <w:r w:rsidR="00676A41" w:rsidRPr="00A45DF2">
        <w:t xml:space="preserve">developing economies </w:t>
      </w:r>
      <w:r>
        <w:t xml:space="preserve">are relatively more </w:t>
      </w:r>
      <w:r w:rsidR="00676A41" w:rsidRPr="00A45DF2">
        <w:t xml:space="preserve">focused on </w:t>
      </w:r>
      <w:r>
        <w:t xml:space="preserve">reducing </w:t>
      </w:r>
      <w:r w:rsidR="00676A41" w:rsidRPr="00A45DF2">
        <w:t>post-harvest losses</w:t>
      </w:r>
      <w:r>
        <w:t xml:space="preserve">; that </w:t>
      </w:r>
      <w:r w:rsidR="00851F45" w:rsidRPr="00A45DF2">
        <w:rPr>
          <w:rFonts w:asciiTheme="majorHAnsi" w:hAnsiTheme="majorHAnsi" w:cs="Times New Roman"/>
        </w:rPr>
        <w:t xml:space="preserve">developed economies </w:t>
      </w:r>
      <w:r>
        <w:rPr>
          <w:rFonts w:asciiTheme="majorHAnsi" w:hAnsiTheme="majorHAnsi" w:cs="Times New Roman"/>
        </w:rPr>
        <w:t xml:space="preserve">are engaged in </w:t>
      </w:r>
      <w:r w:rsidR="00851F45" w:rsidRPr="00A45DF2">
        <w:rPr>
          <w:rFonts w:asciiTheme="majorHAnsi" w:hAnsiTheme="majorHAnsi" w:cs="Times New Roman"/>
        </w:rPr>
        <w:t>efforts to reduce food losses and waste</w:t>
      </w:r>
      <w:r>
        <w:rPr>
          <w:rFonts w:asciiTheme="majorHAnsi" w:hAnsiTheme="majorHAnsi" w:cs="Times New Roman"/>
        </w:rPr>
        <w:t xml:space="preserve"> across the entire supply chain; that developed economies </w:t>
      </w:r>
      <w:r w:rsidR="00851F45" w:rsidRPr="00A45DF2">
        <w:rPr>
          <w:rFonts w:asciiTheme="majorHAnsi" w:hAnsiTheme="majorHAnsi" w:cs="Times New Roman"/>
        </w:rPr>
        <w:t xml:space="preserve">also have better </w:t>
      </w:r>
      <w:r>
        <w:rPr>
          <w:rFonts w:asciiTheme="majorHAnsi" w:hAnsiTheme="majorHAnsi" w:cs="Times New Roman"/>
        </w:rPr>
        <w:t xml:space="preserve">systems to </w:t>
      </w:r>
      <w:r w:rsidR="00851F45" w:rsidRPr="00A45DF2">
        <w:rPr>
          <w:rFonts w:asciiTheme="majorHAnsi" w:hAnsiTheme="majorHAnsi" w:cs="Times New Roman"/>
        </w:rPr>
        <w:t>measure food loss</w:t>
      </w:r>
      <w:r>
        <w:rPr>
          <w:rFonts w:asciiTheme="majorHAnsi" w:hAnsiTheme="majorHAnsi" w:cs="Times New Roman"/>
        </w:rPr>
        <w:t>es and waste</w:t>
      </w:r>
      <w:r w:rsidR="00851F45" w:rsidRPr="00A45DF2">
        <w:rPr>
          <w:rFonts w:asciiTheme="majorHAnsi" w:hAnsiTheme="majorHAnsi" w:cs="Times New Roman"/>
        </w:rPr>
        <w:t xml:space="preserve"> across the entire supply chain</w:t>
      </w:r>
      <w:r>
        <w:rPr>
          <w:rFonts w:asciiTheme="majorHAnsi" w:hAnsiTheme="majorHAnsi" w:cs="Times New Roman"/>
        </w:rPr>
        <w:t>; that</w:t>
      </w:r>
      <w:r w:rsidR="00676A41" w:rsidRPr="00415FE5">
        <w:t xml:space="preserve"> </w:t>
      </w:r>
      <w:r>
        <w:t>developed</w:t>
      </w:r>
      <w:r w:rsidRPr="00415FE5">
        <w:t xml:space="preserve"> economies are </w:t>
      </w:r>
      <w:r>
        <w:t xml:space="preserve">more confident of meeting the </w:t>
      </w:r>
      <w:r w:rsidRPr="00415FE5">
        <w:t xml:space="preserve">APEC </w:t>
      </w:r>
      <w:r>
        <w:t xml:space="preserve">goal of </w:t>
      </w:r>
      <w:r w:rsidRPr="00415FE5">
        <w:t>reduc</w:t>
      </w:r>
      <w:r>
        <w:t>ing FLW</w:t>
      </w:r>
      <w:r w:rsidRPr="00415FE5">
        <w:t xml:space="preserve"> </w:t>
      </w:r>
      <w:r>
        <w:t xml:space="preserve">by 10% by </w:t>
      </w:r>
      <w:r w:rsidRPr="00415FE5">
        <w:t>2020</w:t>
      </w:r>
      <w:r>
        <w:t xml:space="preserve">, </w:t>
      </w:r>
      <w:r w:rsidRPr="00415FE5">
        <w:t>given their current policy</w:t>
      </w:r>
      <w:r>
        <w:t xml:space="preserve"> and </w:t>
      </w:r>
      <w:r w:rsidRPr="00415FE5">
        <w:t>regulat</w:t>
      </w:r>
      <w:r>
        <w:t>ory</w:t>
      </w:r>
      <w:r w:rsidRPr="00415FE5">
        <w:t xml:space="preserve"> initiatives</w:t>
      </w:r>
      <w:r>
        <w:t>; and that</w:t>
      </w:r>
      <w:r w:rsidRPr="00415FE5">
        <w:t xml:space="preserve"> </w:t>
      </w:r>
      <w:r w:rsidR="00A601DE" w:rsidRPr="00415FE5">
        <w:t xml:space="preserve"> developing ec</w:t>
      </w:r>
      <w:r w:rsidR="00912CF0" w:rsidRPr="00415FE5">
        <w:t>onomies are less confident in</w:t>
      </w:r>
      <w:r w:rsidR="00A601DE" w:rsidRPr="00415FE5">
        <w:t xml:space="preserve"> </w:t>
      </w:r>
      <w:r>
        <w:t xml:space="preserve">their capacity to reach this </w:t>
      </w:r>
      <w:r w:rsidR="00A601DE" w:rsidRPr="00415FE5">
        <w:t>goal</w:t>
      </w:r>
      <w:r>
        <w:t xml:space="preserve">, having </w:t>
      </w:r>
      <w:r w:rsidR="00A601DE" w:rsidRPr="00415FE5">
        <w:t>reported insufficient funding</w:t>
      </w:r>
      <w:r w:rsidR="00851F45">
        <w:t xml:space="preserve"> and resources</w:t>
      </w:r>
      <w:r w:rsidR="00A601DE" w:rsidRPr="00415FE5">
        <w:t xml:space="preserve">, </w:t>
      </w:r>
      <w:r w:rsidR="007857E7">
        <w:t xml:space="preserve">a dearth </w:t>
      </w:r>
      <w:r w:rsidR="00A601DE" w:rsidRPr="00415FE5">
        <w:t>of standard</w:t>
      </w:r>
      <w:r>
        <w:t xml:space="preserve">ized </w:t>
      </w:r>
      <w:r w:rsidR="00A601DE" w:rsidRPr="00415FE5">
        <w:t xml:space="preserve">and reliable data, and </w:t>
      </w:r>
      <w:r>
        <w:t xml:space="preserve">a </w:t>
      </w:r>
      <w:r w:rsidR="007857E7">
        <w:t xml:space="preserve">lack of </w:t>
      </w:r>
      <w:r w:rsidR="00A601DE" w:rsidRPr="00415FE5">
        <w:t>consumer</w:t>
      </w:r>
      <w:r w:rsidR="007857E7">
        <w:t xml:space="preserve"> attention on the issue of reducing FLW</w:t>
      </w:r>
      <w:r w:rsidR="00A601DE" w:rsidRPr="00415FE5">
        <w:t>.</w:t>
      </w:r>
      <w:r w:rsidR="00851F45">
        <w:t xml:space="preserve">  </w:t>
      </w:r>
    </w:p>
    <w:p w14:paraId="0460C23F" w14:textId="33B8FF59" w:rsidR="00891B15" w:rsidRDefault="007857E7" w:rsidP="00891B15">
      <w:pPr>
        <w:numPr>
          <w:ilvl w:val="0"/>
          <w:numId w:val="5"/>
        </w:numPr>
        <w:spacing w:after="120" w:line="264" w:lineRule="auto"/>
        <w:ind w:left="425" w:hanging="425"/>
        <w:jc w:val="both"/>
      </w:pPr>
      <w:r>
        <w:t xml:space="preserve">We have found, in the </w:t>
      </w:r>
      <w:r w:rsidR="00A601DE" w:rsidRPr="00415FE5">
        <w:t xml:space="preserve">second </w:t>
      </w:r>
      <w:r w:rsidR="00E033F7" w:rsidRPr="00415FE5">
        <w:t xml:space="preserve">FLW </w:t>
      </w:r>
      <w:r w:rsidR="00A601DE" w:rsidRPr="00415FE5">
        <w:t>survey</w:t>
      </w:r>
      <w:r>
        <w:t>,</w:t>
      </w:r>
      <w:r w:rsidR="00A601DE" w:rsidRPr="00415FE5">
        <w:t xml:space="preserve"> that </w:t>
      </w:r>
      <w:r w:rsidR="008831EC" w:rsidRPr="00415FE5">
        <w:t xml:space="preserve">APEC member economies have implemented a variety of </w:t>
      </w:r>
      <w:r w:rsidR="00FE74F9" w:rsidRPr="00415FE5">
        <w:t>no-regret solutions to</w:t>
      </w:r>
      <w:r w:rsidR="008831EC" w:rsidRPr="00415FE5">
        <w:t xml:space="preserve"> reduce FLW</w:t>
      </w:r>
      <w:r>
        <w:t xml:space="preserve"> which </w:t>
      </w:r>
      <w:r>
        <w:rPr>
          <w:rFonts w:eastAsia="Arial" w:cs="Arial"/>
        </w:rPr>
        <w:t xml:space="preserve">can be sorted </w:t>
      </w:r>
      <w:r w:rsidR="008831EC" w:rsidRPr="00415FE5">
        <w:rPr>
          <w:rFonts w:eastAsia="Arial" w:cs="Arial"/>
        </w:rPr>
        <w:t xml:space="preserve">into </w:t>
      </w:r>
      <w:r w:rsidR="0087250C" w:rsidRPr="00415FE5">
        <w:rPr>
          <w:rFonts w:eastAsia="Arial" w:cs="Arial"/>
        </w:rPr>
        <w:t>three main categories: prevention</w:t>
      </w:r>
      <w:r>
        <w:rPr>
          <w:rFonts w:eastAsia="Arial" w:cs="Arial"/>
        </w:rPr>
        <w:t xml:space="preserve"> solutions</w:t>
      </w:r>
      <w:r w:rsidR="0087250C" w:rsidRPr="00415FE5">
        <w:rPr>
          <w:rFonts w:eastAsia="Arial" w:cs="Arial"/>
        </w:rPr>
        <w:t>,</w:t>
      </w:r>
      <w:r>
        <w:rPr>
          <w:rFonts w:eastAsia="Arial" w:cs="Arial"/>
        </w:rPr>
        <w:t xml:space="preserve"> which </w:t>
      </w:r>
      <w:r w:rsidRPr="00415FE5">
        <w:rPr>
          <w:rFonts w:eastAsia="Arial" w:cs="Arial"/>
        </w:rPr>
        <w:t>eliminate avoidable FLW at the source, including by improving cold chain</w:t>
      </w:r>
      <w:r>
        <w:rPr>
          <w:rFonts w:eastAsia="Arial" w:cs="Arial"/>
        </w:rPr>
        <w:t xml:space="preserve"> infrastructure</w:t>
      </w:r>
      <w:r w:rsidRPr="00415FE5">
        <w:rPr>
          <w:rFonts w:eastAsia="Arial" w:cs="Arial"/>
        </w:rPr>
        <w:t xml:space="preserve">, </w:t>
      </w:r>
      <w:r>
        <w:rPr>
          <w:rFonts w:eastAsia="Arial" w:cs="Arial"/>
        </w:rPr>
        <w:t xml:space="preserve">adjusting </w:t>
      </w:r>
      <w:r w:rsidRPr="00415FE5">
        <w:rPr>
          <w:rFonts w:eastAsia="Arial" w:cs="Arial"/>
        </w:rPr>
        <w:t xml:space="preserve">packaging to increase </w:t>
      </w:r>
      <w:r>
        <w:rPr>
          <w:rFonts w:eastAsia="Arial" w:cs="Arial"/>
        </w:rPr>
        <w:t xml:space="preserve">the shelf life of </w:t>
      </w:r>
      <w:r w:rsidRPr="00415FE5">
        <w:rPr>
          <w:rFonts w:eastAsia="Arial" w:cs="Arial"/>
        </w:rPr>
        <w:t>food products, changing customer behavior</w:t>
      </w:r>
      <w:r>
        <w:rPr>
          <w:rFonts w:eastAsia="Arial" w:cs="Arial"/>
        </w:rPr>
        <w:t>,</w:t>
      </w:r>
      <w:r w:rsidRPr="00415FE5">
        <w:rPr>
          <w:rFonts w:eastAsia="Arial" w:cs="Arial"/>
        </w:rPr>
        <w:t xml:space="preserve"> and serving smaller portions at dining places</w:t>
      </w:r>
      <w:r>
        <w:rPr>
          <w:rFonts w:eastAsia="Arial" w:cs="Arial"/>
        </w:rPr>
        <w:t>;</w:t>
      </w:r>
      <w:r w:rsidR="0087250C" w:rsidRPr="00415FE5">
        <w:rPr>
          <w:rFonts w:eastAsia="Arial" w:cs="Arial"/>
        </w:rPr>
        <w:t xml:space="preserve"> </w:t>
      </w:r>
      <w:r>
        <w:rPr>
          <w:rFonts w:eastAsia="Arial" w:cs="Arial"/>
        </w:rPr>
        <w:t>r</w:t>
      </w:r>
      <w:r w:rsidR="0087250C" w:rsidRPr="00415FE5">
        <w:rPr>
          <w:rFonts w:eastAsia="Arial" w:cs="Arial"/>
        </w:rPr>
        <w:t xml:space="preserve">ecovery </w:t>
      </w:r>
      <w:r w:rsidR="00434949" w:rsidRPr="00415FE5">
        <w:rPr>
          <w:rFonts w:eastAsia="Arial" w:cs="Arial"/>
        </w:rPr>
        <w:t>solutions</w:t>
      </w:r>
      <w:r>
        <w:rPr>
          <w:rFonts w:eastAsia="Arial" w:cs="Arial"/>
        </w:rPr>
        <w:t xml:space="preserve">, including solutions </w:t>
      </w:r>
      <w:r w:rsidR="0087250C" w:rsidRPr="00415FE5">
        <w:rPr>
          <w:rFonts w:eastAsia="Arial" w:cs="Arial"/>
        </w:rPr>
        <w:t>supporting food donation</w:t>
      </w:r>
      <w:r>
        <w:rPr>
          <w:rFonts w:eastAsia="Arial" w:cs="Arial"/>
        </w:rPr>
        <w:t xml:space="preserve"> such as </w:t>
      </w:r>
      <w:r w:rsidR="0087250C" w:rsidRPr="00415FE5">
        <w:rPr>
          <w:rFonts w:eastAsia="Arial" w:cs="Arial"/>
        </w:rPr>
        <w:t>donation tax incentives, standardized donation regulation, donation matching software, donation transportation, donation storage</w:t>
      </w:r>
      <w:r w:rsidR="008831EC" w:rsidRPr="00415FE5">
        <w:rPr>
          <w:rFonts w:eastAsia="Arial" w:cs="Arial"/>
        </w:rPr>
        <w:t xml:space="preserve"> an</w:t>
      </w:r>
      <w:r w:rsidR="0087250C" w:rsidRPr="00415FE5">
        <w:rPr>
          <w:rFonts w:eastAsia="Arial" w:cs="Arial"/>
        </w:rPr>
        <w:t>d handling, donation liability protection</w:t>
      </w:r>
      <w:r w:rsidR="000639FC">
        <w:rPr>
          <w:rFonts w:eastAsia="Arial" w:cs="Arial"/>
        </w:rPr>
        <w:t>,</w:t>
      </w:r>
      <w:r w:rsidR="0087250C" w:rsidRPr="00415FE5">
        <w:rPr>
          <w:rFonts w:eastAsia="Arial" w:cs="Arial"/>
        </w:rPr>
        <w:t xml:space="preserve"> and safe donation education</w:t>
      </w:r>
      <w:r>
        <w:rPr>
          <w:rFonts w:eastAsia="Arial" w:cs="Arial"/>
        </w:rPr>
        <w:t>; and</w:t>
      </w:r>
      <w:r w:rsidR="00244057" w:rsidRPr="00415FE5">
        <w:rPr>
          <w:rFonts w:eastAsia="Arial" w:cs="Arial"/>
        </w:rPr>
        <w:t xml:space="preserve"> </w:t>
      </w:r>
      <w:r>
        <w:rPr>
          <w:rFonts w:eastAsia="Arial" w:cs="Arial"/>
        </w:rPr>
        <w:t>recycling solutions</w:t>
      </w:r>
      <w:r w:rsidR="00244057" w:rsidRPr="00415FE5">
        <w:rPr>
          <w:rFonts w:eastAsia="Arial" w:cs="Arial"/>
        </w:rPr>
        <w:t>,</w:t>
      </w:r>
      <w:r>
        <w:rPr>
          <w:rFonts w:eastAsia="Arial" w:cs="Arial"/>
        </w:rPr>
        <w:t xml:space="preserve"> under which</w:t>
      </w:r>
      <w:r w:rsidR="00244057" w:rsidRPr="00415FE5">
        <w:rPr>
          <w:rFonts w:eastAsia="Arial" w:cs="Arial"/>
        </w:rPr>
        <w:t xml:space="preserve"> </w:t>
      </w:r>
      <w:r w:rsidR="0087250C" w:rsidRPr="00415FE5">
        <w:rPr>
          <w:rFonts w:eastAsia="Arial" w:cs="Arial"/>
        </w:rPr>
        <w:t xml:space="preserve">unavoidable </w:t>
      </w:r>
      <w:r>
        <w:rPr>
          <w:rFonts w:eastAsia="Arial" w:cs="Arial"/>
        </w:rPr>
        <w:t xml:space="preserve">FLW </w:t>
      </w:r>
      <w:r w:rsidR="0087250C" w:rsidRPr="00415FE5">
        <w:rPr>
          <w:rFonts w:eastAsia="Arial" w:cs="Arial"/>
        </w:rPr>
        <w:t xml:space="preserve">can be composted </w:t>
      </w:r>
      <w:r>
        <w:rPr>
          <w:rFonts w:eastAsia="Arial" w:cs="Arial"/>
        </w:rPr>
        <w:t xml:space="preserve">or otherwise recycled as </w:t>
      </w:r>
      <w:r w:rsidR="00A601DE" w:rsidRPr="00415FE5">
        <w:rPr>
          <w:rFonts w:eastAsia="Arial" w:cs="Arial"/>
        </w:rPr>
        <w:t xml:space="preserve">food </w:t>
      </w:r>
      <w:r>
        <w:rPr>
          <w:rFonts w:eastAsia="Arial" w:cs="Arial"/>
        </w:rPr>
        <w:t xml:space="preserve">or </w:t>
      </w:r>
      <w:r w:rsidR="00A601DE" w:rsidRPr="00415FE5">
        <w:rPr>
          <w:rFonts w:eastAsia="Arial" w:cs="Arial"/>
        </w:rPr>
        <w:t>animal feed.</w:t>
      </w:r>
    </w:p>
    <w:p w14:paraId="0A3F9E43" w14:textId="632C99FD" w:rsidR="00891B15" w:rsidRDefault="007857E7" w:rsidP="00891B15">
      <w:pPr>
        <w:numPr>
          <w:ilvl w:val="0"/>
          <w:numId w:val="5"/>
        </w:numPr>
        <w:spacing w:after="120" w:line="264" w:lineRule="auto"/>
        <w:ind w:left="425" w:hanging="425"/>
        <w:jc w:val="both"/>
      </w:pPr>
      <w:r>
        <w:t xml:space="preserve">We have further found that the results of </w:t>
      </w:r>
      <w:r w:rsidR="00A11F39" w:rsidRPr="00415FE5">
        <w:t>t</w:t>
      </w:r>
      <w:r w:rsidR="00FE74F9" w:rsidRPr="00415FE5">
        <w:t>he second</w:t>
      </w:r>
      <w:r w:rsidR="00912CF0" w:rsidRPr="00415FE5">
        <w:t xml:space="preserve"> </w:t>
      </w:r>
      <w:r w:rsidR="00E033F7" w:rsidRPr="00415FE5">
        <w:t xml:space="preserve">FLW </w:t>
      </w:r>
      <w:r w:rsidR="00912CF0" w:rsidRPr="00415FE5">
        <w:t xml:space="preserve">survey </w:t>
      </w:r>
      <w:r w:rsidR="00FE74F9" w:rsidRPr="00415FE5">
        <w:t>reaffirm</w:t>
      </w:r>
      <w:r w:rsidR="00E83097" w:rsidRPr="00415FE5">
        <w:t xml:space="preserve"> the importance </w:t>
      </w:r>
      <w:r>
        <w:t xml:space="preserve">of public-private partnerships in </w:t>
      </w:r>
      <w:r w:rsidR="00FE74F9" w:rsidRPr="00415FE5">
        <w:t>FLW reduction</w:t>
      </w:r>
      <w:r>
        <w:t xml:space="preserve"> activities, </w:t>
      </w:r>
      <w:r w:rsidR="00051FA8">
        <w:t>outline</w:t>
      </w:r>
      <w:r>
        <w:t xml:space="preserve"> what APEC member economies consider </w:t>
      </w:r>
      <w:r w:rsidR="00E83097" w:rsidRPr="00415FE5">
        <w:t xml:space="preserve">the </w:t>
      </w:r>
      <w:r>
        <w:t xml:space="preserve">key </w:t>
      </w:r>
      <w:r w:rsidR="00E83097" w:rsidRPr="00415FE5">
        <w:t xml:space="preserve">indicators of successful </w:t>
      </w:r>
      <w:r w:rsidR="00051FA8">
        <w:t>public-private partnership</w:t>
      </w:r>
      <w:r w:rsidR="00051FA8" w:rsidRPr="00415FE5">
        <w:t xml:space="preserve"> </w:t>
      </w:r>
      <w:r w:rsidR="00E83097" w:rsidRPr="00415FE5">
        <w:t>project</w:t>
      </w:r>
      <w:r w:rsidR="000639FC">
        <w:t>s</w:t>
      </w:r>
      <w:r w:rsidR="00E83097" w:rsidRPr="00415FE5">
        <w:t xml:space="preserve">, </w:t>
      </w:r>
      <w:r>
        <w:t xml:space="preserve">highlight </w:t>
      </w:r>
      <w:r w:rsidR="00E83097" w:rsidRPr="00415FE5">
        <w:t>the strength</w:t>
      </w:r>
      <w:r>
        <w:t>s</w:t>
      </w:r>
      <w:r w:rsidR="00E83097" w:rsidRPr="00415FE5">
        <w:t xml:space="preserve"> and weakness</w:t>
      </w:r>
      <w:r>
        <w:t>es</w:t>
      </w:r>
      <w:r w:rsidR="00E83097" w:rsidRPr="00415FE5">
        <w:t xml:space="preserve"> of </w:t>
      </w:r>
      <w:r>
        <w:t xml:space="preserve">these partnerships in </w:t>
      </w:r>
      <w:r w:rsidR="00E83097" w:rsidRPr="00415FE5">
        <w:t>FLW reduction</w:t>
      </w:r>
      <w:r>
        <w:t xml:space="preserve"> activities</w:t>
      </w:r>
      <w:r w:rsidR="00E83097" w:rsidRPr="00415FE5">
        <w:t xml:space="preserve">, and </w:t>
      </w:r>
      <w:r w:rsidR="00051FA8">
        <w:t xml:space="preserve">suggest directions </w:t>
      </w:r>
      <w:r w:rsidR="00E83097" w:rsidRPr="00415FE5">
        <w:t>for improv</w:t>
      </w:r>
      <w:r w:rsidR="00051FA8">
        <w:t>ing public-private partnerships to reduce FLW</w:t>
      </w:r>
      <w:r w:rsidR="00E83097" w:rsidRPr="00415FE5">
        <w:t>.</w:t>
      </w:r>
      <w:r w:rsidR="00FF6E7B" w:rsidRPr="00415FE5">
        <w:t xml:space="preserve"> </w:t>
      </w:r>
      <w:r w:rsidR="00A23D01">
        <w:t xml:space="preserve"> </w:t>
      </w:r>
    </w:p>
    <w:p w14:paraId="111C7892" w14:textId="15AECA7E" w:rsidR="00FF6E7B" w:rsidRPr="00415FE5" w:rsidRDefault="00CE2882" w:rsidP="00891B15">
      <w:pPr>
        <w:numPr>
          <w:ilvl w:val="0"/>
          <w:numId w:val="5"/>
        </w:numPr>
        <w:spacing w:after="120" w:line="264" w:lineRule="auto"/>
        <w:ind w:left="425" w:hanging="425"/>
        <w:jc w:val="both"/>
      </w:pPr>
      <w:r>
        <w:t>W</w:t>
      </w:r>
      <w:r w:rsidR="00A57D75" w:rsidRPr="00415FE5">
        <w:t xml:space="preserve">e </w:t>
      </w:r>
      <w:r w:rsidR="00051FA8">
        <w:t xml:space="preserve">have further found </w:t>
      </w:r>
      <w:r w:rsidR="00A57D75" w:rsidRPr="00415FE5">
        <w:t xml:space="preserve">that </w:t>
      </w:r>
      <w:r w:rsidR="00FF6E7B" w:rsidRPr="00415FE5">
        <w:t xml:space="preserve">by implementing no-regret solutions, APEC </w:t>
      </w:r>
      <w:r w:rsidR="00051FA8">
        <w:t xml:space="preserve">member economies </w:t>
      </w:r>
      <w:r w:rsidR="008E019C" w:rsidRPr="00415FE5">
        <w:t xml:space="preserve">could </w:t>
      </w:r>
      <w:r w:rsidR="003E2690" w:rsidRPr="00415FE5">
        <w:t>potentially</w:t>
      </w:r>
      <w:r w:rsidR="00FF6E7B" w:rsidRPr="00415FE5">
        <w:t xml:space="preserve"> reduce </w:t>
      </w:r>
      <w:r w:rsidR="00051FA8">
        <w:t xml:space="preserve">collective food losses and waste by </w:t>
      </w:r>
      <w:r w:rsidR="00FF6E7B" w:rsidRPr="00415FE5">
        <w:t>approximately 112 million tons</w:t>
      </w:r>
      <w:r w:rsidR="00051FA8">
        <w:t xml:space="preserve"> </w:t>
      </w:r>
      <w:r w:rsidR="006E780B">
        <w:t xml:space="preserve">per year </w:t>
      </w:r>
      <w:r w:rsidR="00051FA8">
        <w:t xml:space="preserve">and thereby </w:t>
      </w:r>
      <w:r w:rsidR="00FF6E7B" w:rsidRPr="00415FE5">
        <w:t xml:space="preserve">achieve </w:t>
      </w:r>
      <w:r w:rsidR="006E780B">
        <w:t xml:space="preserve">or exceed </w:t>
      </w:r>
      <w:r w:rsidR="00FF6E7B" w:rsidRPr="00415FE5">
        <w:t xml:space="preserve">the APEC goal of </w:t>
      </w:r>
      <w:r w:rsidR="00051FA8">
        <w:t xml:space="preserve">reducing FLW by </w:t>
      </w:r>
      <w:r w:rsidR="00FF6E7B" w:rsidRPr="00415FE5">
        <w:t>10% by 2020</w:t>
      </w:r>
      <w:r w:rsidR="00051FA8">
        <w:t xml:space="preserve">; could create a </w:t>
      </w:r>
      <w:r w:rsidR="00FF6E7B" w:rsidRPr="00415FE5">
        <w:t>diversion potential worth about $141 million</w:t>
      </w:r>
      <w:r w:rsidR="00051FA8">
        <w:t xml:space="preserve"> per year at an </w:t>
      </w:r>
      <w:r w:rsidR="00FF6E7B" w:rsidRPr="00415FE5">
        <w:t xml:space="preserve">average cost estimated </w:t>
      </w:r>
      <w:r w:rsidR="00051FA8">
        <w:t xml:space="preserve">at </w:t>
      </w:r>
      <w:r w:rsidR="00FF6E7B" w:rsidRPr="00415FE5">
        <w:t xml:space="preserve">$29.5 million per year, </w:t>
      </w:r>
      <w:r w:rsidR="00051FA8">
        <w:t xml:space="preserve">creating </w:t>
      </w:r>
      <w:r w:rsidR="00FF6E7B" w:rsidRPr="00415FE5">
        <w:t>economic value of about $112 million annually</w:t>
      </w:r>
      <w:r w:rsidR="00051FA8">
        <w:t>; and could, by implementing no-regret solutions to eliminate</w:t>
      </w:r>
      <w:r w:rsidR="00FF6E7B" w:rsidRPr="00415FE5">
        <w:t xml:space="preserve"> avoidable FLW </w:t>
      </w:r>
      <w:r w:rsidR="00051FA8">
        <w:t xml:space="preserve">of </w:t>
      </w:r>
      <w:r w:rsidR="00FF6E7B" w:rsidRPr="00415FE5">
        <w:t>approximately 36 million meals per year and 17.8 billion gallons of water per year</w:t>
      </w:r>
      <w:r w:rsidR="00051FA8">
        <w:t xml:space="preserve">, reduce </w:t>
      </w:r>
      <w:r w:rsidR="00FF6E7B" w:rsidRPr="00415FE5">
        <w:t>greenhouse gas</w:t>
      </w:r>
      <w:r w:rsidR="00051FA8">
        <w:t xml:space="preserve"> emissions</w:t>
      </w:r>
      <w:r w:rsidR="00FF6E7B" w:rsidRPr="00415FE5">
        <w:t xml:space="preserve"> by more than 163 million tons per year</w:t>
      </w:r>
      <w:r w:rsidR="00051FA8">
        <w:t>, and generate</w:t>
      </w:r>
      <w:r w:rsidR="00FF6E7B" w:rsidRPr="00415FE5">
        <w:t xml:space="preserve"> </w:t>
      </w:r>
      <w:r w:rsidR="00051FA8">
        <w:t xml:space="preserve">at </w:t>
      </w:r>
      <w:r w:rsidR="00FF6E7B" w:rsidRPr="00415FE5">
        <w:t>least 184</w:t>
      </w:r>
      <w:r w:rsidR="00051FA8">
        <w:t xml:space="preserve">,000 </w:t>
      </w:r>
      <w:r w:rsidR="00FF6E7B" w:rsidRPr="00415FE5">
        <w:t>jobs annually.</w:t>
      </w:r>
    </w:p>
    <w:p w14:paraId="0F414CA7" w14:textId="7E1725CD" w:rsidR="007A0564" w:rsidRPr="00E033F7" w:rsidRDefault="00051FA8" w:rsidP="007A0564">
      <w:pPr>
        <w:numPr>
          <w:ilvl w:val="0"/>
          <w:numId w:val="5"/>
        </w:numPr>
        <w:spacing w:after="120" w:line="264" w:lineRule="auto"/>
        <w:ind w:left="425" w:hanging="425"/>
        <w:jc w:val="both"/>
      </w:pPr>
      <w:r>
        <w:t xml:space="preserve">We have found that </w:t>
      </w:r>
      <w:r w:rsidR="001E0E36">
        <w:t xml:space="preserve">the use of </w:t>
      </w:r>
      <w:r>
        <w:t>i</w:t>
      </w:r>
      <w:r w:rsidR="00BC7DC9" w:rsidRPr="00E033F7">
        <w:t xml:space="preserve">nnovative technologies </w:t>
      </w:r>
      <w:r w:rsidR="001E0E36" w:rsidRPr="00E033F7">
        <w:t>for adapting to climate change</w:t>
      </w:r>
      <w:r w:rsidR="001E0E36">
        <w:t>,</w:t>
      </w:r>
      <w:r w:rsidR="001E0E36" w:rsidRPr="00E033F7">
        <w:t xml:space="preserve"> </w:t>
      </w:r>
      <w:r>
        <w:t xml:space="preserve">such </w:t>
      </w:r>
      <w:r w:rsidR="001E0E36">
        <w:t xml:space="preserve">as </w:t>
      </w:r>
      <w:r>
        <w:t>on-farm procedure</w:t>
      </w:r>
      <w:r w:rsidR="001E0E36">
        <w:t xml:space="preserve"> improvements</w:t>
      </w:r>
      <w:r>
        <w:t>, temperature and water-content control</w:t>
      </w:r>
      <w:r w:rsidR="001E0E36">
        <w:t xml:space="preserve"> systems</w:t>
      </w:r>
      <w:r>
        <w:t xml:space="preserve">, </w:t>
      </w:r>
      <w:r w:rsidR="001E0E36">
        <w:t xml:space="preserve">quality control systems, packing and storage </w:t>
      </w:r>
      <w:r w:rsidR="001E0E36">
        <w:lastRenderedPageBreak/>
        <w:t xml:space="preserve">improvements, transportation improvements and other technologies </w:t>
      </w:r>
      <w:r w:rsidR="00BC7DC9" w:rsidRPr="00E033F7">
        <w:t xml:space="preserve">recommended </w:t>
      </w:r>
      <w:r>
        <w:t xml:space="preserve">in </w:t>
      </w:r>
      <w:r w:rsidR="00BC7DC9" w:rsidRPr="00E033F7">
        <w:t xml:space="preserve">the project “U.S.–APEC Technical Assistance to Advance Regional Integration” </w:t>
      </w:r>
      <w:r w:rsidR="001E0E36">
        <w:t xml:space="preserve">can further </w:t>
      </w:r>
      <w:r w:rsidR="001E0E36" w:rsidRPr="00E033F7">
        <w:t>reduc</w:t>
      </w:r>
      <w:r w:rsidR="001E0E36">
        <w:t>e production and post-harvest losses of</w:t>
      </w:r>
      <w:r w:rsidR="001E0E36" w:rsidRPr="00E033F7">
        <w:t xml:space="preserve"> agricultural </w:t>
      </w:r>
      <w:r w:rsidR="001E0E36">
        <w:t>products.</w:t>
      </w:r>
    </w:p>
    <w:p w14:paraId="6D06180C" w14:textId="6CD6093F" w:rsidR="00851F45" w:rsidRDefault="001E0E36" w:rsidP="00851F45">
      <w:pPr>
        <w:numPr>
          <w:ilvl w:val="0"/>
          <w:numId w:val="5"/>
        </w:numPr>
        <w:spacing w:after="120" w:line="264" w:lineRule="auto"/>
        <w:ind w:left="425" w:hanging="425"/>
        <w:jc w:val="both"/>
      </w:pPr>
      <w:r>
        <w:rPr>
          <w:rFonts w:eastAsia="Arial" w:cs="Arial"/>
        </w:rPr>
        <w:t xml:space="preserve">We have further found that other non-technological </w:t>
      </w:r>
      <w:r w:rsidR="00D227FC" w:rsidRPr="00E033F7">
        <w:rPr>
          <w:rFonts w:eastAsia="Arial" w:cs="Arial"/>
        </w:rPr>
        <w:t xml:space="preserve">improvements </w:t>
      </w:r>
      <w:r w:rsidR="000311DF" w:rsidRPr="00E033F7">
        <w:rPr>
          <w:rFonts w:eastAsia="Arial" w:cs="Arial"/>
        </w:rPr>
        <w:t xml:space="preserve">made </w:t>
      </w:r>
      <w:r>
        <w:rPr>
          <w:rFonts w:eastAsia="Arial" w:cs="Arial"/>
        </w:rPr>
        <w:t xml:space="preserve">across the supply chain, such as improving </w:t>
      </w:r>
      <w:r w:rsidRPr="00E033F7">
        <w:rPr>
          <w:rFonts w:eastAsia="Arial" w:cs="Arial"/>
        </w:rPr>
        <w:t>temperature control</w:t>
      </w:r>
      <w:r>
        <w:rPr>
          <w:rFonts w:eastAsia="Arial" w:cs="Arial"/>
        </w:rPr>
        <w:t>,</w:t>
      </w:r>
      <w:r w:rsidRPr="00E033F7">
        <w:rPr>
          <w:rFonts w:eastAsia="Arial" w:cs="Arial"/>
        </w:rPr>
        <w:t xml:space="preserve"> monitoring</w:t>
      </w:r>
      <w:r>
        <w:rPr>
          <w:rFonts w:eastAsia="Arial" w:cs="Arial"/>
        </w:rPr>
        <w:t xml:space="preserve"> and handling procedures in the </w:t>
      </w:r>
      <w:r w:rsidR="000311DF" w:rsidRPr="00E033F7">
        <w:rPr>
          <w:rFonts w:eastAsia="Arial" w:cs="Arial"/>
        </w:rPr>
        <w:t>cold c</w:t>
      </w:r>
      <w:r w:rsidR="00D227FC" w:rsidRPr="00E033F7">
        <w:rPr>
          <w:rFonts w:eastAsia="Arial" w:cs="Arial"/>
        </w:rPr>
        <w:t>hain</w:t>
      </w:r>
      <w:r>
        <w:rPr>
          <w:rFonts w:eastAsia="Arial" w:cs="Arial"/>
        </w:rPr>
        <w:t xml:space="preserve">, can considerably </w:t>
      </w:r>
      <w:r w:rsidR="00D227FC" w:rsidRPr="00E033F7">
        <w:rPr>
          <w:rFonts w:eastAsia="Arial" w:cs="Arial"/>
        </w:rPr>
        <w:t xml:space="preserve">reduce FLW in a cost-effective manner.  </w:t>
      </w:r>
    </w:p>
    <w:p w14:paraId="06BA4409" w14:textId="705ACB1D" w:rsidR="007A0564" w:rsidRPr="0026202D" w:rsidRDefault="007A0564" w:rsidP="000F077C">
      <w:pPr>
        <w:pStyle w:val="a7"/>
        <w:numPr>
          <w:ilvl w:val="0"/>
          <w:numId w:val="15"/>
        </w:numPr>
        <w:spacing w:after="120" w:line="264" w:lineRule="auto"/>
        <w:ind w:leftChars="0" w:left="425" w:hanging="450"/>
        <w:jc w:val="both"/>
        <w:rPr>
          <w:color w:val="000000" w:themeColor="text1"/>
        </w:rPr>
      </w:pPr>
      <w:r w:rsidRPr="0026202D">
        <w:rPr>
          <w:b/>
          <w:color w:val="000000" w:themeColor="text1"/>
        </w:rPr>
        <w:t>Recommendations</w:t>
      </w:r>
      <w:r w:rsidR="001E0E36">
        <w:rPr>
          <w:b/>
          <w:color w:val="000000" w:themeColor="text1"/>
        </w:rPr>
        <w:t xml:space="preserve"> to Reduce F</w:t>
      </w:r>
      <w:r w:rsidR="001E0E36" w:rsidRPr="0026202D">
        <w:rPr>
          <w:b/>
          <w:color w:val="000000" w:themeColor="text1"/>
        </w:rPr>
        <w:t xml:space="preserve">ood </w:t>
      </w:r>
      <w:r w:rsidR="001E0E36">
        <w:rPr>
          <w:b/>
          <w:color w:val="000000" w:themeColor="text1"/>
        </w:rPr>
        <w:t>L</w:t>
      </w:r>
      <w:r w:rsidR="001E0E36" w:rsidRPr="0026202D">
        <w:rPr>
          <w:b/>
          <w:color w:val="000000" w:themeColor="text1"/>
        </w:rPr>
        <w:t>oss</w:t>
      </w:r>
      <w:r w:rsidR="001E0E36">
        <w:rPr>
          <w:b/>
          <w:color w:val="000000" w:themeColor="text1"/>
        </w:rPr>
        <w:t>es</w:t>
      </w:r>
      <w:r w:rsidR="001E0E36" w:rsidRPr="0026202D">
        <w:rPr>
          <w:b/>
          <w:color w:val="000000" w:themeColor="text1"/>
        </w:rPr>
        <w:t xml:space="preserve"> and </w:t>
      </w:r>
      <w:r w:rsidR="001E0E36">
        <w:rPr>
          <w:b/>
          <w:color w:val="000000" w:themeColor="text1"/>
        </w:rPr>
        <w:t>W</w:t>
      </w:r>
      <w:r w:rsidR="001E0E36" w:rsidRPr="0026202D">
        <w:rPr>
          <w:b/>
          <w:color w:val="000000" w:themeColor="text1"/>
        </w:rPr>
        <w:t>aste</w:t>
      </w:r>
      <w:r w:rsidR="001E0E36">
        <w:rPr>
          <w:b/>
          <w:color w:val="000000" w:themeColor="text1"/>
        </w:rPr>
        <w:t xml:space="preserve"> in APEC</w:t>
      </w:r>
    </w:p>
    <w:p w14:paraId="7292F227" w14:textId="32268B73" w:rsidR="00272895" w:rsidRPr="007A0564" w:rsidRDefault="00272895" w:rsidP="007A0564">
      <w:pPr>
        <w:numPr>
          <w:ilvl w:val="0"/>
          <w:numId w:val="5"/>
        </w:numPr>
        <w:spacing w:after="120" w:line="264" w:lineRule="auto"/>
        <w:ind w:left="425" w:hanging="425"/>
        <w:jc w:val="both"/>
        <w:rPr>
          <w:color w:val="000000" w:themeColor="text1"/>
        </w:rPr>
      </w:pPr>
      <w:r w:rsidRPr="007A0564">
        <w:rPr>
          <w:color w:val="000000" w:themeColor="text1"/>
        </w:rPr>
        <w:t xml:space="preserve">We encourage APEC </w:t>
      </w:r>
      <w:r w:rsidR="001E0E36">
        <w:rPr>
          <w:color w:val="000000" w:themeColor="text1"/>
        </w:rPr>
        <w:t xml:space="preserve">member </w:t>
      </w:r>
      <w:r w:rsidRPr="007A0564">
        <w:rPr>
          <w:color w:val="000000" w:themeColor="text1"/>
        </w:rPr>
        <w:t xml:space="preserve">economies to </w:t>
      </w:r>
      <w:r w:rsidR="001E0E36">
        <w:rPr>
          <w:color w:val="000000" w:themeColor="text1"/>
        </w:rPr>
        <w:t xml:space="preserve">consult </w:t>
      </w:r>
      <w:r w:rsidRPr="007A0564">
        <w:rPr>
          <w:color w:val="000000" w:themeColor="text1"/>
        </w:rPr>
        <w:t xml:space="preserve">the resources </w:t>
      </w:r>
      <w:r w:rsidR="00105F32">
        <w:rPr>
          <w:color w:val="000000" w:themeColor="text1"/>
        </w:rPr>
        <w:t xml:space="preserve">produced </w:t>
      </w:r>
      <w:r w:rsidR="001E0E36">
        <w:rPr>
          <w:color w:val="000000" w:themeColor="text1"/>
        </w:rPr>
        <w:t xml:space="preserve">under </w:t>
      </w:r>
      <w:r w:rsidRPr="007A0564">
        <w:rPr>
          <w:color w:val="000000" w:themeColor="text1"/>
        </w:rPr>
        <w:t xml:space="preserve">APEC MYP </w:t>
      </w:r>
      <w:r w:rsidR="001E0E36">
        <w:rPr>
          <w:color w:val="000000" w:themeColor="text1"/>
        </w:rPr>
        <w:t>FLW</w:t>
      </w:r>
      <w:r w:rsidR="00105F32">
        <w:rPr>
          <w:color w:val="000000" w:themeColor="text1"/>
        </w:rPr>
        <w:t xml:space="preserve"> and to refer to relevant information and activities from the United Nations </w:t>
      </w:r>
      <w:r w:rsidRPr="007A0564">
        <w:rPr>
          <w:color w:val="000000" w:themeColor="text1"/>
        </w:rPr>
        <w:t xml:space="preserve">Food and Agriculture Organization (FAO), </w:t>
      </w:r>
      <w:r w:rsidR="00105F32">
        <w:rPr>
          <w:color w:val="000000" w:themeColor="text1"/>
        </w:rPr>
        <w:t xml:space="preserve">the </w:t>
      </w:r>
      <w:r w:rsidRPr="007A0564">
        <w:rPr>
          <w:color w:val="000000" w:themeColor="text1"/>
        </w:rPr>
        <w:t xml:space="preserve">United Nations Environment </w:t>
      </w:r>
      <w:proofErr w:type="spellStart"/>
      <w:r w:rsidRPr="007A0564">
        <w:rPr>
          <w:color w:val="000000" w:themeColor="text1"/>
        </w:rPr>
        <w:t>Programme</w:t>
      </w:r>
      <w:proofErr w:type="spellEnd"/>
      <w:r w:rsidRPr="007A0564">
        <w:rPr>
          <w:color w:val="000000" w:themeColor="text1"/>
        </w:rPr>
        <w:t xml:space="preserve"> (UNEP),</w:t>
      </w:r>
      <w:r w:rsidR="00105F32">
        <w:rPr>
          <w:color w:val="000000" w:themeColor="text1"/>
        </w:rPr>
        <w:t xml:space="preserve"> the</w:t>
      </w:r>
      <w:r w:rsidRPr="007A0564">
        <w:rPr>
          <w:color w:val="000000" w:themeColor="text1"/>
        </w:rPr>
        <w:t xml:space="preserve"> World Resources Institute (WRI), the Waste and Resources Action </w:t>
      </w:r>
      <w:proofErr w:type="spellStart"/>
      <w:r w:rsidRPr="007A0564">
        <w:rPr>
          <w:color w:val="000000" w:themeColor="text1"/>
        </w:rPr>
        <w:t>Programme</w:t>
      </w:r>
      <w:proofErr w:type="spellEnd"/>
      <w:r w:rsidRPr="007A0564">
        <w:rPr>
          <w:color w:val="000000" w:themeColor="text1"/>
        </w:rPr>
        <w:t xml:space="preserve"> (WRAP), </w:t>
      </w:r>
      <w:r w:rsidR="00105F32">
        <w:rPr>
          <w:color w:val="000000" w:themeColor="text1"/>
        </w:rPr>
        <w:t xml:space="preserve">the </w:t>
      </w:r>
      <w:r w:rsidRPr="007A0564">
        <w:rPr>
          <w:color w:val="000000" w:themeColor="text1"/>
        </w:rPr>
        <w:t xml:space="preserve">EU-funded REFRESH project, </w:t>
      </w:r>
      <w:r w:rsidR="00105F32">
        <w:rPr>
          <w:color w:val="000000" w:themeColor="text1"/>
        </w:rPr>
        <w:t>t</w:t>
      </w:r>
      <w:r w:rsidRPr="007A0564">
        <w:rPr>
          <w:color w:val="000000" w:themeColor="text1"/>
        </w:rPr>
        <w:t xml:space="preserve">he Consumer Goods Forum (CGF), </w:t>
      </w:r>
      <w:r w:rsidR="00105F32">
        <w:rPr>
          <w:color w:val="000000" w:themeColor="text1"/>
        </w:rPr>
        <w:t xml:space="preserve">the </w:t>
      </w:r>
      <w:r w:rsidRPr="007A0564">
        <w:rPr>
          <w:color w:val="000000" w:themeColor="text1"/>
        </w:rPr>
        <w:t xml:space="preserve">World Business Council for Sustainable Development (WBCSD), </w:t>
      </w:r>
      <w:r w:rsidR="00105F32">
        <w:rPr>
          <w:color w:val="000000" w:themeColor="text1"/>
        </w:rPr>
        <w:t xml:space="preserve">the </w:t>
      </w:r>
      <w:r w:rsidRPr="007A0564">
        <w:rPr>
          <w:color w:val="000000" w:themeColor="text1"/>
        </w:rPr>
        <w:t>Rethink Food Waste through Economics and Data (</w:t>
      </w:r>
      <w:proofErr w:type="spellStart"/>
      <w:r w:rsidRPr="007A0564">
        <w:rPr>
          <w:color w:val="000000" w:themeColor="text1"/>
        </w:rPr>
        <w:t>ReFED</w:t>
      </w:r>
      <w:proofErr w:type="spellEnd"/>
      <w:r w:rsidRPr="007A0564">
        <w:rPr>
          <w:color w:val="000000" w:themeColor="text1"/>
        </w:rPr>
        <w:t>)</w:t>
      </w:r>
      <w:r w:rsidR="00105F32">
        <w:rPr>
          <w:color w:val="000000" w:themeColor="text1"/>
        </w:rPr>
        <w:t xml:space="preserve"> program</w:t>
      </w:r>
      <w:r w:rsidRPr="007A0564">
        <w:rPr>
          <w:color w:val="000000" w:themeColor="text1"/>
        </w:rPr>
        <w:t>,</w:t>
      </w:r>
      <w:r w:rsidR="00105F32">
        <w:rPr>
          <w:color w:val="000000" w:themeColor="text1"/>
        </w:rPr>
        <w:t xml:space="preserve"> the</w:t>
      </w:r>
      <w:r w:rsidRPr="007A0564">
        <w:rPr>
          <w:color w:val="000000" w:themeColor="text1"/>
        </w:rPr>
        <w:t xml:space="preserve"> World Food Program (WFP), the International Fund for Agricultural Development (IFAD), the Organization for Economic Cooperation and Development (OECD) and Champions 12.3. </w:t>
      </w:r>
    </w:p>
    <w:p w14:paraId="77B30CE2" w14:textId="399BA86C" w:rsidR="004D7FD7" w:rsidRPr="0026202D" w:rsidRDefault="000655AF" w:rsidP="00AD2D06">
      <w:pPr>
        <w:numPr>
          <w:ilvl w:val="0"/>
          <w:numId w:val="5"/>
        </w:numPr>
        <w:spacing w:after="120" w:line="264" w:lineRule="auto"/>
        <w:ind w:left="425" w:hanging="425"/>
        <w:jc w:val="both"/>
      </w:pPr>
      <w:r w:rsidRPr="0026202D">
        <w:t>We encourage APEC economies to hold regional seminars</w:t>
      </w:r>
      <w:r w:rsidR="00105F32">
        <w:t xml:space="preserve"> and</w:t>
      </w:r>
      <w:r w:rsidRPr="0026202D">
        <w:t xml:space="preserve"> workshops</w:t>
      </w:r>
      <w:r w:rsidR="00346D12">
        <w:t xml:space="preserve">, </w:t>
      </w:r>
      <w:r w:rsidR="00105F32">
        <w:t xml:space="preserve">to </w:t>
      </w:r>
      <w:r w:rsidR="00105F32">
        <w:rPr>
          <w:color w:val="000000" w:themeColor="text1"/>
        </w:rPr>
        <w:t xml:space="preserve">liaise </w:t>
      </w:r>
      <w:r w:rsidR="00BA77E4">
        <w:rPr>
          <w:color w:val="000000" w:themeColor="text1"/>
        </w:rPr>
        <w:t xml:space="preserve">with other relevant APEC sub-fora and international organizations, </w:t>
      </w:r>
      <w:r w:rsidR="00105F32">
        <w:t xml:space="preserve">to carry out </w:t>
      </w:r>
      <w:r w:rsidRPr="0026202D">
        <w:t xml:space="preserve">other activities to share </w:t>
      </w:r>
      <w:r w:rsidR="00105F32">
        <w:t xml:space="preserve">their </w:t>
      </w:r>
      <w:r w:rsidRPr="0026202D">
        <w:t>best practices</w:t>
      </w:r>
      <w:r w:rsidR="00175E50" w:rsidRPr="0026202D">
        <w:t xml:space="preserve"> </w:t>
      </w:r>
      <w:r w:rsidR="00105F32">
        <w:t>on FLW reduction</w:t>
      </w:r>
      <w:r w:rsidR="006B6B01">
        <w:t>,</w:t>
      </w:r>
      <w:r w:rsidR="00105F32">
        <w:t xml:space="preserve"> </w:t>
      </w:r>
      <w:r w:rsidR="00175E50" w:rsidRPr="0026202D">
        <w:t xml:space="preserve">and to </w:t>
      </w:r>
      <w:r w:rsidR="00105F32">
        <w:t xml:space="preserve">publish these </w:t>
      </w:r>
      <w:r w:rsidRPr="0026202D">
        <w:t xml:space="preserve">best practices on the APEC-FLOWS </w:t>
      </w:r>
      <w:r w:rsidR="00105F32">
        <w:t>platform</w:t>
      </w:r>
      <w:r w:rsidRPr="0026202D">
        <w:t xml:space="preserve">. </w:t>
      </w:r>
    </w:p>
    <w:p w14:paraId="66CA36D2" w14:textId="7CC4DCFB" w:rsidR="007A0564" w:rsidRDefault="00815D00" w:rsidP="007A0564">
      <w:pPr>
        <w:numPr>
          <w:ilvl w:val="0"/>
          <w:numId w:val="5"/>
        </w:numPr>
        <w:spacing w:after="120" w:line="264" w:lineRule="auto"/>
        <w:ind w:left="425" w:hanging="425"/>
        <w:jc w:val="both"/>
      </w:pPr>
      <w:r w:rsidRPr="0026202D">
        <w:t>We encourage APEC economies to systematically measure FLW in their food systems</w:t>
      </w:r>
      <w:r w:rsidR="006B6B01">
        <w:t>, while</w:t>
      </w:r>
      <w:r w:rsidRPr="0026202D">
        <w:t xml:space="preserve"> </w:t>
      </w:r>
      <w:r w:rsidR="000655AF" w:rsidRPr="0026202D">
        <w:t>also recogniz</w:t>
      </w:r>
      <w:r w:rsidR="006B6B01">
        <w:t>ing</w:t>
      </w:r>
      <w:r w:rsidR="000655AF" w:rsidRPr="0026202D">
        <w:t xml:space="preserve"> </w:t>
      </w:r>
      <w:r w:rsidR="006B6B01">
        <w:t xml:space="preserve">the importance of initiating </w:t>
      </w:r>
      <w:r w:rsidR="000655AF" w:rsidRPr="0026202D">
        <w:t>active efforts to reduce FLW</w:t>
      </w:r>
      <w:r w:rsidR="006B6B01">
        <w:t xml:space="preserve"> even without</w:t>
      </w:r>
      <w:r w:rsidR="000655AF" w:rsidRPr="0026202D">
        <w:t xml:space="preserve"> final </w:t>
      </w:r>
      <w:r w:rsidR="006B6B01">
        <w:t>measurements</w:t>
      </w:r>
      <w:r w:rsidR="000655AF" w:rsidRPr="0026202D">
        <w:t xml:space="preserve">. </w:t>
      </w:r>
    </w:p>
    <w:p w14:paraId="56A3AD6A" w14:textId="27B65A12" w:rsidR="006E780B" w:rsidRPr="008D7A18" w:rsidRDefault="006E780B" w:rsidP="007A0564">
      <w:pPr>
        <w:numPr>
          <w:ilvl w:val="0"/>
          <w:numId w:val="5"/>
        </w:numPr>
        <w:spacing w:after="120" w:line="264" w:lineRule="auto"/>
        <w:ind w:left="425" w:hanging="425"/>
        <w:jc w:val="both"/>
      </w:pPr>
      <w:r w:rsidRPr="008D7A18">
        <w:t>We encourage APEC economies to support the establishment of a</w:t>
      </w:r>
      <w:r w:rsidR="00663ACB" w:rsidRPr="008D7A18">
        <w:t>n</w:t>
      </w:r>
      <w:r w:rsidRPr="008D7A18">
        <w:t xml:space="preserve"> organization </w:t>
      </w:r>
      <w:r w:rsidR="00663ACB" w:rsidRPr="008D7A18">
        <w:t>to coordinate future regional programs and efforts to measure and reduce FLW.</w:t>
      </w:r>
    </w:p>
    <w:p w14:paraId="699F77BB" w14:textId="2CC09FEB" w:rsidR="007A0564" w:rsidRPr="0026202D" w:rsidRDefault="00BB7801" w:rsidP="007A0564">
      <w:pPr>
        <w:numPr>
          <w:ilvl w:val="0"/>
          <w:numId w:val="5"/>
        </w:numPr>
        <w:spacing w:after="120" w:line="264" w:lineRule="auto"/>
        <w:ind w:left="425" w:hanging="425"/>
        <w:jc w:val="both"/>
      </w:pPr>
      <w:r w:rsidRPr="0026202D">
        <w:t xml:space="preserve">We encourage </w:t>
      </w:r>
      <w:r w:rsidR="006B6B01">
        <w:t xml:space="preserve">APEC economies to conduct improvements, </w:t>
      </w:r>
      <w:r w:rsidR="006B6B01" w:rsidRPr="0026202D">
        <w:t xml:space="preserve">including </w:t>
      </w:r>
      <w:r w:rsidR="006B6B01" w:rsidRPr="0026202D">
        <w:rPr>
          <w:rFonts w:eastAsia="Arial" w:cs="Arial"/>
        </w:rPr>
        <w:t>low-cost steps that can be implemented quickly</w:t>
      </w:r>
      <w:r w:rsidR="006B6B01">
        <w:rPr>
          <w:rFonts w:eastAsia="Arial" w:cs="Arial"/>
        </w:rPr>
        <w:t>,</w:t>
      </w:r>
      <w:r w:rsidR="006B6B01">
        <w:t xml:space="preserve"> to their </w:t>
      </w:r>
      <w:r w:rsidRPr="0026202D">
        <w:t>cold chain</w:t>
      </w:r>
      <w:r w:rsidR="006B6B01">
        <w:t xml:space="preserve"> systems in order </w:t>
      </w:r>
      <w:r w:rsidRPr="0026202D">
        <w:t>to strengthen global value chain</w:t>
      </w:r>
      <w:r w:rsidR="006B6B01">
        <w:t>s</w:t>
      </w:r>
      <w:r w:rsidRPr="0026202D">
        <w:t xml:space="preserve"> </w:t>
      </w:r>
      <w:r w:rsidR="006B6B01">
        <w:t xml:space="preserve">for </w:t>
      </w:r>
      <w:r w:rsidRPr="0026202D">
        <w:t>foods and agricultur</w:t>
      </w:r>
      <w:r w:rsidR="006B6B01">
        <w:t>al products</w:t>
      </w:r>
      <w:r w:rsidR="00D227FC" w:rsidRPr="0026202D">
        <w:rPr>
          <w:rFonts w:eastAsia="Arial" w:cs="Arial"/>
        </w:rPr>
        <w:t>.</w:t>
      </w:r>
      <w:r w:rsidR="00093F1C" w:rsidRPr="0026202D">
        <w:rPr>
          <w:rFonts w:eastAsia="Arial" w:cs="Arial"/>
        </w:rPr>
        <w:t xml:space="preserve"> </w:t>
      </w:r>
    </w:p>
    <w:p w14:paraId="242DF4CE" w14:textId="2EF719A1" w:rsidR="007A0564" w:rsidRPr="0026202D" w:rsidRDefault="005E1356" w:rsidP="007A0564">
      <w:pPr>
        <w:numPr>
          <w:ilvl w:val="0"/>
          <w:numId w:val="5"/>
        </w:numPr>
        <w:spacing w:after="120" w:line="264" w:lineRule="auto"/>
        <w:ind w:left="425" w:hanging="425"/>
        <w:jc w:val="both"/>
      </w:pPr>
      <w:r w:rsidRPr="0026202D">
        <w:t xml:space="preserve">We encourage private sector </w:t>
      </w:r>
      <w:r w:rsidR="006B6B01">
        <w:t xml:space="preserve">actors across APEC </w:t>
      </w:r>
      <w:r w:rsidRPr="0026202D">
        <w:t xml:space="preserve">to </w:t>
      </w:r>
      <w:r w:rsidR="006B6B01">
        <w:t xml:space="preserve">implement </w:t>
      </w:r>
      <w:r w:rsidRPr="0026202D">
        <w:t>feasible solutions to reduce FLW</w:t>
      </w:r>
      <w:r w:rsidR="006B6B01">
        <w:t>, recognizing that</w:t>
      </w:r>
      <w:r w:rsidRPr="0026202D">
        <w:t xml:space="preserve"> </w:t>
      </w:r>
      <w:r w:rsidR="006B6B01">
        <w:t>e</w:t>
      </w:r>
      <w:r w:rsidR="00F15A53" w:rsidRPr="0026202D">
        <w:t xml:space="preserve">ngaging the private sector in a meaningful way can help develop business strategies </w:t>
      </w:r>
      <w:r w:rsidR="006B6B01">
        <w:t xml:space="preserve">around FLW reduction </w:t>
      </w:r>
      <w:r w:rsidR="00F15A53" w:rsidRPr="0026202D">
        <w:t>and meet regional food security challenge</w:t>
      </w:r>
      <w:r w:rsidR="006B6B01">
        <w:t>s</w:t>
      </w:r>
      <w:r w:rsidR="00F15A53" w:rsidRPr="0026202D">
        <w:t>.</w:t>
      </w:r>
    </w:p>
    <w:p w14:paraId="47825F20" w14:textId="6214331B" w:rsidR="007A0564" w:rsidRPr="0026202D" w:rsidRDefault="000A76BF" w:rsidP="007A0564">
      <w:pPr>
        <w:numPr>
          <w:ilvl w:val="0"/>
          <w:numId w:val="5"/>
        </w:numPr>
        <w:spacing w:after="120" w:line="264" w:lineRule="auto"/>
        <w:ind w:left="425" w:hanging="425"/>
        <w:jc w:val="both"/>
      </w:pPr>
      <w:r w:rsidRPr="0026202D">
        <w:t xml:space="preserve">We encourage </w:t>
      </w:r>
      <w:r w:rsidR="006B6B01">
        <w:t xml:space="preserve">the adoption of </w:t>
      </w:r>
      <w:r w:rsidRPr="0026202D">
        <w:t xml:space="preserve">voluntary agreements between government, </w:t>
      </w:r>
      <w:r w:rsidR="00272895" w:rsidRPr="0026202D">
        <w:t>industry</w:t>
      </w:r>
      <w:r w:rsidR="00CE6EB3" w:rsidRPr="0026202D">
        <w:t xml:space="preserve">, researchers, academics, </w:t>
      </w:r>
      <w:r w:rsidR="00272895" w:rsidRPr="0026202D">
        <w:t xml:space="preserve">and food </w:t>
      </w:r>
      <w:r w:rsidR="00CE6EB3" w:rsidRPr="0026202D">
        <w:t>supply chain</w:t>
      </w:r>
      <w:r w:rsidRPr="0026202D">
        <w:t xml:space="preserve"> </w:t>
      </w:r>
      <w:r w:rsidR="006B6B01">
        <w:t xml:space="preserve">stakeholders </w:t>
      </w:r>
      <w:r w:rsidRPr="0026202D">
        <w:t>to promote policies</w:t>
      </w:r>
      <w:r w:rsidR="006B6B01">
        <w:t xml:space="preserve"> and </w:t>
      </w:r>
      <w:r w:rsidRPr="0026202D">
        <w:t xml:space="preserve">funding initiatives </w:t>
      </w:r>
      <w:r w:rsidR="006B6B01">
        <w:t xml:space="preserve">for </w:t>
      </w:r>
      <w:r w:rsidRPr="0026202D">
        <w:t>reducing FLW.</w:t>
      </w:r>
      <w:r w:rsidR="00CE6EB3" w:rsidRPr="0026202D">
        <w:t xml:space="preserve"> </w:t>
      </w:r>
    </w:p>
    <w:p w14:paraId="27D96DB6" w14:textId="65B6BD19" w:rsidR="00490F76" w:rsidRDefault="00E50DCD" w:rsidP="00490F76">
      <w:pPr>
        <w:numPr>
          <w:ilvl w:val="0"/>
          <w:numId w:val="5"/>
        </w:numPr>
        <w:spacing w:after="120" w:line="264" w:lineRule="auto"/>
        <w:ind w:left="425" w:hanging="425"/>
        <w:jc w:val="both"/>
      </w:pPr>
      <w:r w:rsidRPr="0026202D">
        <w:t xml:space="preserve">We encourage </w:t>
      </w:r>
      <w:r w:rsidR="006B6B01">
        <w:t xml:space="preserve">APEC economies to </w:t>
      </w:r>
      <w:r w:rsidR="00B2015A">
        <w:t xml:space="preserve">recognize that the promotion of food </w:t>
      </w:r>
      <w:r w:rsidR="00B2015A">
        <w:lastRenderedPageBreak/>
        <w:t xml:space="preserve">donation through tax incentives and the expansion of </w:t>
      </w:r>
      <w:r w:rsidR="00E80CC2" w:rsidRPr="0026202D">
        <w:t>consumer education</w:t>
      </w:r>
      <w:r w:rsidR="006B6B01">
        <w:t xml:space="preserve"> programs, such as public</w:t>
      </w:r>
      <w:r w:rsidR="00E80CC2" w:rsidRPr="0026202D">
        <w:t xml:space="preserve"> </w:t>
      </w:r>
      <w:r w:rsidR="006B6B01">
        <w:t xml:space="preserve">information about </w:t>
      </w:r>
      <w:r w:rsidR="006B6B01" w:rsidRPr="0026202D">
        <w:t xml:space="preserve">date labeling </w:t>
      </w:r>
      <w:r w:rsidR="006B6B01">
        <w:t xml:space="preserve">systems and </w:t>
      </w:r>
      <w:r w:rsidR="006B6B01" w:rsidRPr="0026202D">
        <w:t xml:space="preserve">proper storage </w:t>
      </w:r>
      <w:r w:rsidR="006B6B01">
        <w:t>for fruits and vegetables,</w:t>
      </w:r>
      <w:r w:rsidR="006B6B01" w:rsidRPr="0026202D">
        <w:t xml:space="preserve"> </w:t>
      </w:r>
      <w:r w:rsidR="00B2015A">
        <w:t>are important part</w:t>
      </w:r>
      <w:r w:rsidR="000639FC">
        <w:t>s</w:t>
      </w:r>
      <w:r w:rsidR="00B2015A">
        <w:t xml:space="preserve"> of </w:t>
      </w:r>
      <w:r w:rsidR="00E80CC2" w:rsidRPr="0026202D">
        <w:t xml:space="preserve">reducing food waste at </w:t>
      </w:r>
      <w:r w:rsidR="006B6B01">
        <w:t xml:space="preserve">the </w:t>
      </w:r>
      <w:r w:rsidR="00E80CC2" w:rsidRPr="0026202D">
        <w:t>retail and consumer levels.</w:t>
      </w:r>
      <w:r w:rsidR="00344528" w:rsidRPr="0026202D">
        <w:t xml:space="preserve"> </w:t>
      </w:r>
    </w:p>
    <w:p w14:paraId="066F440E" w14:textId="53EE7A33" w:rsidR="00901488" w:rsidRPr="00901488" w:rsidRDefault="00901488" w:rsidP="00490F76">
      <w:pPr>
        <w:numPr>
          <w:ilvl w:val="0"/>
          <w:numId w:val="5"/>
        </w:numPr>
        <w:spacing w:after="120" w:line="264" w:lineRule="auto"/>
        <w:ind w:left="425" w:hanging="425"/>
        <w:jc w:val="both"/>
      </w:pPr>
      <w:r w:rsidRPr="00901488">
        <w:t xml:space="preserve">We encourage </w:t>
      </w:r>
      <w:r w:rsidR="00B2015A">
        <w:t xml:space="preserve">the </w:t>
      </w:r>
      <w:r w:rsidRPr="00901488">
        <w:t xml:space="preserve">development of policy environments that enable open and efficient markets, private sector investment, and gender-equitable access to factors of production, products and income, </w:t>
      </w:r>
      <w:r w:rsidR="00B2015A">
        <w:t xml:space="preserve">with </w:t>
      </w:r>
      <w:r w:rsidRPr="00901488">
        <w:t xml:space="preserve">consideration of where deregulation can </w:t>
      </w:r>
      <w:r w:rsidR="00B2015A">
        <w:t xml:space="preserve">address </w:t>
      </w:r>
      <w:r w:rsidR="00B2015A" w:rsidRPr="00901488">
        <w:t xml:space="preserve">deficiencies in infrastructure, training, </w:t>
      </w:r>
      <w:r w:rsidR="00B2015A">
        <w:t xml:space="preserve">fairness </w:t>
      </w:r>
      <w:r w:rsidR="00B2015A" w:rsidRPr="00901488">
        <w:t xml:space="preserve">and education </w:t>
      </w:r>
      <w:r w:rsidR="00B2015A">
        <w:t xml:space="preserve">to </w:t>
      </w:r>
      <w:r w:rsidRPr="00901488">
        <w:t xml:space="preserve">enhance </w:t>
      </w:r>
      <w:r w:rsidR="00B2015A">
        <w:t xml:space="preserve">FLW reduction </w:t>
      </w:r>
      <w:r w:rsidRPr="00901488">
        <w:t>outcomes</w:t>
      </w:r>
      <w:r w:rsidR="00B2015A">
        <w:t xml:space="preserve"> at each </w:t>
      </w:r>
      <w:r w:rsidRPr="00901488">
        <w:t>stage of the food supply chain.</w:t>
      </w:r>
    </w:p>
    <w:p w14:paraId="02AAD50D" w14:textId="74366B76" w:rsidR="00490F76" w:rsidRPr="002C1D68" w:rsidRDefault="00B2015A" w:rsidP="00490F76">
      <w:pPr>
        <w:numPr>
          <w:ilvl w:val="0"/>
          <w:numId w:val="5"/>
        </w:numPr>
        <w:spacing w:after="120" w:line="264" w:lineRule="auto"/>
        <w:ind w:left="425" w:hanging="425"/>
        <w:jc w:val="both"/>
      </w:pPr>
      <w:r>
        <w:t xml:space="preserve">We support the </w:t>
      </w:r>
      <w:r w:rsidRPr="002C1D68">
        <w:t>APEC Services Competitiveness Roadmap (2016-2025)</w:t>
      </w:r>
      <w:r w:rsidR="00EE5FB0">
        <w:t>,</w:t>
      </w:r>
      <w:r w:rsidRPr="002C1D68">
        <w:t xml:space="preserve"> </w:t>
      </w:r>
      <w:r w:rsidR="00EE5FB0">
        <w:t xml:space="preserve">which </w:t>
      </w:r>
      <w:r w:rsidRPr="002C1D68">
        <w:t>encourages the development of services-related statistics to measure the services regulatory environment in APEC economies for APEC-wide actions and individual economy action</w:t>
      </w:r>
      <w:r w:rsidR="00EE5FB0">
        <w:t xml:space="preserve">, acknowledging that </w:t>
      </w:r>
      <w:r w:rsidR="00EE5FB0" w:rsidRPr="002C1D68">
        <w:t xml:space="preserve">innovative solutions </w:t>
      </w:r>
      <w:r w:rsidR="00EE5FB0">
        <w:t xml:space="preserve">offered by </w:t>
      </w:r>
      <w:r w:rsidR="00490F76" w:rsidRPr="002C1D68">
        <w:t xml:space="preserve">finance, logistics, telecommunications and </w:t>
      </w:r>
      <w:r w:rsidR="00EE5FB0">
        <w:t xml:space="preserve">other service industry sectors </w:t>
      </w:r>
      <w:r w:rsidR="00490F76" w:rsidRPr="002C1D68">
        <w:t xml:space="preserve">are critical for reducing </w:t>
      </w:r>
      <w:r w:rsidR="00EE5FB0">
        <w:t xml:space="preserve">FLW across </w:t>
      </w:r>
      <w:r w:rsidR="00490F76" w:rsidRPr="002C1D68">
        <w:t>the supply chain.</w:t>
      </w:r>
      <w:bookmarkStart w:id="2" w:name="_z1ykgb2t7dg3" w:colFirst="0" w:colLast="0"/>
      <w:bookmarkEnd w:id="2"/>
    </w:p>
    <w:p w14:paraId="728443D9" w14:textId="77777777" w:rsidR="00422104" w:rsidRDefault="00422104" w:rsidP="00F0162B">
      <w:pPr>
        <w:spacing w:after="120" w:line="264" w:lineRule="auto"/>
      </w:pPr>
    </w:p>
    <w:p w14:paraId="400816B2" w14:textId="77777777" w:rsidR="00901488" w:rsidRPr="00490F76" w:rsidRDefault="00901488" w:rsidP="00F0162B">
      <w:pPr>
        <w:spacing w:after="120" w:line="264" w:lineRule="auto"/>
      </w:pPr>
    </w:p>
    <w:sectPr w:rsidR="00901488" w:rsidRPr="00490F76">
      <w:footerReference w:type="default" r:id="rId9"/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041DD" w14:textId="77777777" w:rsidR="00834CD4" w:rsidRDefault="00834CD4">
      <w:r>
        <w:separator/>
      </w:r>
    </w:p>
  </w:endnote>
  <w:endnote w:type="continuationSeparator" w:id="0">
    <w:p w14:paraId="77D6EBDF" w14:textId="77777777" w:rsidR="00834CD4" w:rsidRDefault="00834CD4">
      <w:r>
        <w:continuationSeparator/>
      </w:r>
    </w:p>
  </w:endnote>
  <w:endnote w:type="continuationNotice" w:id="1">
    <w:p w14:paraId="789B3FEE" w14:textId="77777777" w:rsidR="00834CD4" w:rsidRDefault="00834C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365D0" w14:textId="3A13CF7A" w:rsidR="000F077C" w:rsidRDefault="000F077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E91431">
      <w:rPr>
        <w:rFonts w:eastAsia="Calibri"/>
        <w:noProof/>
        <w:color w:val="000000"/>
        <w:sz w:val="20"/>
        <w:szCs w:val="20"/>
      </w:rPr>
      <w:t>6</w:t>
    </w:r>
    <w:r>
      <w:rPr>
        <w:color w:val="000000"/>
        <w:sz w:val="20"/>
        <w:szCs w:val="20"/>
      </w:rPr>
      <w:fldChar w:fldCharType="end"/>
    </w:r>
  </w:p>
  <w:p w14:paraId="7BF5AA7C" w14:textId="77777777" w:rsidR="000F077C" w:rsidRDefault="000F077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8CA7F" w14:textId="77777777" w:rsidR="00834CD4" w:rsidRDefault="00834CD4">
      <w:r>
        <w:separator/>
      </w:r>
    </w:p>
  </w:footnote>
  <w:footnote w:type="continuationSeparator" w:id="0">
    <w:p w14:paraId="0BD238D8" w14:textId="77777777" w:rsidR="00834CD4" w:rsidRDefault="00834CD4">
      <w:r>
        <w:continuationSeparator/>
      </w:r>
    </w:p>
  </w:footnote>
  <w:footnote w:type="continuationNotice" w:id="1">
    <w:p w14:paraId="6EBB77BD" w14:textId="77777777" w:rsidR="00834CD4" w:rsidRDefault="00834CD4"/>
  </w:footnote>
  <w:footnote w:id="2">
    <w:p w14:paraId="60C28266" w14:textId="77777777" w:rsidR="002725FA" w:rsidRDefault="002725FA" w:rsidP="002725FA">
      <w:pPr>
        <w:pStyle w:val="a8"/>
      </w:pPr>
      <w:r>
        <w:rPr>
          <w:rStyle w:val="aa"/>
        </w:rPr>
        <w:footnoteRef/>
      </w:r>
      <w:r>
        <w:t xml:space="preserve"> </w:t>
      </w:r>
      <w:proofErr w:type="gramStart"/>
      <w:r>
        <w:rPr>
          <w:rFonts w:hint="eastAsia"/>
        </w:rPr>
        <w:t xml:space="preserve">Statistics by </w:t>
      </w:r>
      <w:r>
        <w:t xml:space="preserve">United Nations </w:t>
      </w:r>
      <w:r w:rsidRPr="00983EE0">
        <w:t>Food and Agriculture Organization (FAO)</w:t>
      </w:r>
      <w:r>
        <w:t>.</w:t>
      </w:r>
      <w:proofErr w:type="gramEnd"/>
    </w:p>
  </w:footnote>
  <w:footnote w:id="3">
    <w:p w14:paraId="61E2DD93" w14:textId="77777777" w:rsidR="002725FA" w:rsidRDefault="002725FA" w:rsidP="002725FA">
      <w:pPr>
        <w:pStyle w:val="a8"/>
      </w:pPr>
      <w:r>
        <w:rPr>
          <w:rStyle w:val="aa"/>
        </w:rPr>
        <w:footnoteRef/>
      </w:r>
      <w:r>
        <w:t xml:space="preserve"> </w:t>
      </w:r>
      <w:proofErr w:type="gramStart"/>
      <w:r>
        <w:rPr>
          <w:rFonts w:hint="eastAsia"/>
        </w:rPr>
        <w:t>HLPE, 2014.</w:t>
      </w:r>
      <w:proofErr w:type="gramEnd"/>
      <w:r>
        <w:rPr>
          <w:rFonts w:hint="eastAsia"/>
        </w:rPr>
        <w:t xml:space="preserve"> Food losses and waste in the context of sustainable food systems.</w:t>
      </w:r>
      <w:r>
        <w:t xml:space="preserve"> </w:t>
      </w:r>
      <w:proofErr w:type="gramStart"/>
      <w:r>
        <w:t>A report by the High Level Panel of Experts on Food Security and Nutrition of the Committee on World Food Security, Rome 2014.</w:t>
      </w:r>
      <w:proofErr w:type="gramEnd"/>
    </w:p>
  </w:footnote>
  <w:footnote w:id="4">
    <w:p w14:paraId="254DE6AE" w14:textId="4BAF02B0" w:rsidR="000F077C" w:rsidRDefault="000F077C" w:rsidP="003D6605">
      <w:pPr>
        <w:pStyle w:val="a8"/>
      </w:pPr>
      <w:r>
        <w:rPr>
          <w:rStyle w:val="aa"/>
        </w:rPr>
        <w:footnoteRef/>
      </w:r>
      <w:r>
        <w:t xml:space="preserve"> The UN FAO </w:t>
      </w:r>
      <w:r w:rsidR="005A0E3A">
        <w:t xml:space="preserve">Mass Flow Model facilitates the simple mathematical estimation </w:t>
      </w:r>
      <w:r>
        <w:t xml:space="preserve">of </w:t>
      </w:r>
      <w:r w:rsidR="005A0E3A">
        <w:t xml:space="preserve">food </w:t>
      </w:r>
      <w:r>
        <w:t xml:space="preserve">waste </w:t>
      </w:r>
      <w:r w:rsidR="005A0E3A">
        <w:t xml:space="preserve">across the food chain through an assessment of </w:t>
      </w:r>
      <w:r>
        <w:t xml:space="preserve">the change in weight and quantity of products </w:t>
      </w:r>
      <w:r w:rsidR="005A0E3A">
        <w:t xml:space="preserve">at each stage of production. </w:t>
      </w:r>
    </w:p>
  </w:footnote>
  <w:footnote w:id="5">
    <w:p w14:paraId="1BAD5CDB" w14:textId="7E4CBC7E" w:rsidR="000F077C" w:rsidRPr="0026202D" w:rsidRDefault="000F077C">
      <w:pPr>
        <w:pStyle w:val="a8"/>
      </w:pPr>
      <w:r>
        <w:rPr>
          <w:rStyle w:val="aa"/>
        </w:rPr>
        <w:footnoteRef/>
      </w:r>
      <w:r>
        <w:t xml:space="preserve"> </w:t>
      </w:r>
      <w:r w:rsidRPr="0026202D">
        <w:t>The term “</w:t>
      </w:r>
      <w:r>
        <w:t>n</w:t>
      </w:r>
      <w:r w:rsidRPr="0026202D">
        <w:t xml:space="preserve">o-regret </w:t>
      </w:r>
      <w:r>
        <w:t>s</w:t>
      </w:r>
      <w:r w:rsidRPr="0026202D">
        <w:t xml:space="preserve">olution” refers to “Actions to reduce greenhouse gases emissions that have negative net costs (i.e. win-win solutions)” (IPCC, 2001). Here, a no-regret solution </w:t>
      </w:r>
      <w:r>
        <w:t xml:space="preserve">to reduce </w:t>
      </w:r>
      <w:r w:rsidRPr="0026202D">
        <w:t xml:space="preserve">FLW </w:t>
      </w:r>
      <w:r>
        <w:t xml:space="preserve">refers to a </w:t>
      </w:r>
      <w:r w:rsidRPr="0026202D">
        <w:t xml:space="preserve">solution </w:t>
      </w:r>
      <w:r>
        <w:t xml:space="preserve">that </w:t>
      </w:r>
      <w:r w:rsidRPr="0026202D">
        <w:t>is beneficial</w:t>
      </w:r>
      <w:r>
        <w:t xml:space="preserve"> or </w:t>
      </w:r>
      <w:r w:rsidRPr="0026202D">
        <w:t>useful even without accurate measurement or reliable information</w:t>
      </w:r>
      <w:r>
        <w:t xml:space="preserve">, </w:t>
      </w:r>
      <w:r w:rsidRPr="0026202D">
        <w:t xml:space="preserve">or </w:t>
      </w:r>
      <w:r>
        <w:t xml:space="preserve">a </w:t>
      </w:r>
      <w:r w:rsidRPr="0026202D">
        <w:t xml:space="preserve">solution </w:t>
      </w:r>
      <w:r>
        <w:t xml:space="preserve">that carries a </w:t>
      </w:r>
      <w:r w:rsidRPr="0026202D">
        <w:t xml:space="preserve">relatively low cost </w:t>
      </w:r>
      <w:r>
        <w:t>of implementation</w:t>
      </w:r>
      <w:r w:rsidRPr="0026202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688B"/>
    <w:multiLevelType w:val="multilevel"/>
    <w:tmpl w:val="3552F49A"/>
    <w:lvl w:ilvl="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>
      <w:start w:val="1"/>
      <w:numFmt w:val="decimal"/>
      <w:lvlText w:val="%2、"/>
      <w:lvlJc w:val="left"/>
      <w:pPr>
        <w:ind w:left="908" w:hanging="480"/>
      </w:pPr>
    </w:lvl>
    <w:lvl w:ilvl="2">
      <w:start w:val="1"/>
      <w:numFmt w:val="lowerRoman"/>
      <w:lvlText w:val="%3."/>
      <w:lvlJc w:val="right"/>
      <w:pPr>
        <w:ind w:left="1388" w:hanging="480"/>
      </w:pPr>
    </w:lvl>
    <w:lvl w:ilvl="3">
      <w:start w:val="1"/>
      <w:numFmt w:val="decimal"/>
      <w:lvlText w:val="%4."/>
      <w:lvlJc w:val="left"/>
      <w:pPr>
        <w:ind w:left="1868" w:hanging="480"/>
      </w:pPr>
    </w:lvl>
    <w:lvl w:ilvl="4">
      <w:start w:val="1"/>
      <w:numFmt w:val="decimal"/>
      <w:lvlText w:val="%5、"/>
      <w:lvlJc w:val="left"/>
      <w:pPr>
        <w:ind w:left="2348" w:hanging="480"/>
      </w:pPr>
    </w:lvl>
    <w:lvl w:ilvl="5">
      <w:start w:val="1"/>
      <w:numFmt w:val="lowerRoman"/>
      <w:lvlText w:val="%6."/>
      <w:lvlJc w:val="right"/>
      <w:pPr>
        <w:ind w:left="2828" w:hanging="480"/>
      </w:pPr>
    </w:lvl>
    <w:lvl w:ilvl="6">
      <w:start w:val="1"/>
      <w:numFmt w:val="decimal"/>
      <w:lvlText w:val="%7."/>
      <w:lvlJc w:val="left"/>
      <w:pPr>
        <w:ind w:left="3308" w:hanging="480"/>
      </w:pPr>
    </w:lvl>
    <w:lvl w:ilvl="7">
      <w:start w:val="1"/>
      <w:numFmt w:val="decimal"/>
      <w:lvlText w:val="%8、"/>
      <w:lvlJc w:val="left"/>
      <w:pPr>
        <w:ind w:left="3788" w:hanging="480"/>
      </w:pPr>
    </w:lvl>
    <w:lvl w:ilvl="8">
      <w:start w:val="1"/>
      <w:numFmt w:val="lowerRoman"/>
      <w:lvlText w:val="%9."/>
      <w:lvlJc w:val="right"/>
      <w:pPr>
        <w:ind w:left="4268" w:hanging="480"/>
      </w:pPr>
    </w:lvl>
  </w:abstractNum>
  <w:abstractNum w:abstractNumId="1">
    <w:nsid w:val="02A80D57"/>
    <w:multiLevelType w:val="multilevel"/>
    <w:tmpl w:val="0ADAA0FE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612640"/>
    <w:multiLevelType w:val="multilevel"/>
    <w:tmpl w:val="3552F49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AD73C9"/>
    <w:multiLevelType w:val="multilevel"/>
    <w:tmpl w:val="8F206BE0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F952B7"/>
    <w:multiLevelType w:val="multilevel"/>
    <w:tmpl w:val="345AB594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B00E63"/>
    <w:multiLevelType w:val="multilevel"/>
    <w:tmpl w:val="345AB594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AC7166"/>
    <w:multiLevelType w:val="multilevel"/>
    <w:tmpl w:val="720247AC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C579B6"/>
    <w:multiLevelType w:val="multilevel"/>
    <w:tmpl w:val="0ADAA0FE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76443D"/>
    <w:multiLevelType w:val="hybridMultilevel"/>
    <w:tmpl w:val="1F6E2AA6"/>
    <w:lvl w:ilvl="0" w:tplc="06704B7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9866C0A"/>
    <w:multiLevelType w:val="hybridMultilevel"/>
    <w:tmpl w:val="1C928C3A"/>
    <w:lvl w:ilvl="0" w:tplc="8652841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9F62F83"/>
    <w:multiLevelType w:val="multilevel"/>
    <w:tmpl w:val="345AB594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BD1BFE"/>
    <w:multiLevelType w:val="multilevel"/>
    <w:tmpl w:val="323A3B1C"/>
    <w:lvl w:ilvl="0">
      <w:start w:val="2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CA02C51"/>
    <w:multiLevelType w:val="multilevel"/>
    <w:tmpl w:val="965481D4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64370D9"/>
    <w:multiLevelType w:val="multilevel"/>
    <w:tmpl w:val="2FA67954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2"/>
  </w:num>
  <w:num w:numId="5">
    <w:abstractNumId w:val="5"/>
  </w:num>
  <w:num w:numId="6">
    <w:abstractNumId w:val="6"/>
  </w:num>
  <w:num w:numId="7">
    <w:abstractNumId w:val="3"/>
  </w:num>
  <w:num w:numId="8">
    <w:abstractNumId w:val="13"/>
  </w:num>
  <w:num w:numId="9">
    <w:abstractNumId w:val="8"/>
  </w:num>
  <w:num w:numId="10">
    <w:abstractNumId w:val="0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0NDcwM7UwtjSxMDBU0lEKTi0uzszPAykwrAUADK1IOSwAAAA="/>
  </w:docVars>
  <w:rsids>
    <w:rsidRoot w:val="004C2FF3"/>
    <w:rsid w:val="00010D3C"/>
    <w:rsid w:val="000136E0"/>
    <w:rsid w:val="000311DF"/>
    <w:rsid w:val="00031A9B"/>
    <w:rsid w:val="00051FA8"/>
    <w:rsid w:val="00054FC0"/>
    <w:rsid w:val="000639FC"/>
    <w:rsid w:val="000655AF"/>
    <w:rsid w:val="000707F8"/>
    <w:rsid w:val="00070885"/>
    <w:rsid w:val="000805D3"/>
    <w:rsid w:val="00081F82"/>
    <w:rsid w:val="00093F1C"/>
    <w:rsid w:val="000965E6"/>
    <w:rsid w:val="000A627A"/>
    <w:rsid w:val="000A76BF"/>
    <w:rsid w:val="000B181B"/>
    <w:rsid w:val="000B544F"/>
    <w:rsid w:val="000C09A3"/>
    <w:rsid w:val="000C384E"/>
    <w:rsid w:val="000D735C"/>
    <w:rsid w:val="000D7831"/>
    <w:rsid w:val="000E1677"/>
    <w:rsid w:val="000F077C"/>
    <w:rsid w:val="000F2AA6"/>
    <w:rsid w:val="00103B11"/>
    <w:rsid w:val="00105F32"/>
    <w:rsid w:val="001152C4"/>
    <w:rsid w:val="0014060B"/>
    <w:rsid w:val="00143D50"/>
    <w:rsid w:val="00155341"/>
    <w:rsid w:val="00156613"/>
    <w:rsid w:val="00163989"/>
    <w:rsid w:val="001647E7"/>
    <w:rsid w:val="00172817"/>
    <w:rsid w:val="00175E50"/>
    <w:rsid w:val="001810A4"/>
    <w:rsid w:val="001813AB"/>
    <w:rsid w:val="001A1B37"/>
    <w:rsid w:val="001C0C0E"/>
    <w:rsid w:val="001C616C"/>
    <w:rsid w:val="001C78A9"/>
    <w:rsid w:val="001E0E36"/>
    <w:rsid w:val="001E125F"/>
    <w:rsid w:val="001E3B27"/>
    <w:rsid w:val="001E5C47"/>
    <w:rsid w:val="00221146"/>
    <w:rsid w:val="0024162B"/>
    <w:rsid w:val="00244057"/>
    <w:rsid w:val="002544BC"/>
    <w:rsid w:val="00260C53"/>
    <w:rsid w:val="0026202D"/>
    <w:rsid w:val="002624F0"/>
    <w:rsid w:val="00262E3A"/>
    <w:rsid w:val="0026731B"/>
    <w:rsid w:val="002725FA"/>
    <w:rsid w:val="00272895"/>
    <w:rsid w:val="00281DEF"/>
    <w:rsid w:val="00294CFE"/>
    <w:rsid w:val="00297574"/>
    <w:rsid w:val="002B373A"/>
    <w:rsid w:val="002C085D"/>
    <w:rsid w:val="002C1D68"/>
    <w:rsid w:val="002D4785"/>
    <w:rsid w:val="002D7E0F"/>
    <w:rsid w:val="002E2AD4"/>
    <w:rsid w:val="002F2893"/>
    <w:rsid w:val="0031660A"/>
    <w:rsid w:val="00334BC1"/>
    <w:rsid w:val="00344528"/>
    <w:rsid w:val="00346D12"/>
    <w:rsid w:val="00347695"/>
    <w:rsid w:val="003561D5"/>
    <w:rsid w:val="00356D73"/>
    <w:rsid w:val="00374D1F"/>
    <w:rsid w:val="0038203B"/>
    <w:rsid w:val="0038355E"/>
    <w:rsid w:val="003A6FAC"/>
    <w:rsid w:val="003A7504"/>
    <w:rsid w:val="003C2B2A"/>
    <w:rsid w:val="003C3F8C"/>
    <w:rsid w:val="003D0768"/>
    <w:rsid w:val="003D236C"/>
    <w:rsid w:val="003D6605"/>
    <w:rsid w:val="003E2690"/>
    <w:rsid w:val="003F2085"/>
    <w:rsid w:val="00400F40"/>
    <w:rsid w:val="00414D54"/>
    <w:rsid w:val="00415FE5"/>
    <w:rsid w:val="00416CAE"/>
    <w:rsid w:val="0042163B"/>
    <w:rsid w:val="00422104"/>
    <w:rsid w:val="0042362E"/>
    <w:rsid w:val="00434949"/>
    <w:rsid w:val="0045348B"/>
    <w:rsid w:val="00461872"/>
    <w:rsid w:val="0047441D"/>
    <w:rsid w:val="00474901"/>
    <w:rsid w:val="00490F76"/>
    <w:rsid w:val="00493435"/>
    <w:rsid w:val="0049402C"/>
    <w:rsid w:val="00494344"/>
    <w:rsid w:val="004A1156"/>
    <w:rsid w:val="004A25BB"/>
    <w:rsid w:val="004A4089"/>
    <w:rsid w:val="004B180F"/>
    <w:rsid w:val="004B3E32"/>
    <w:rsid w:val="004C2FF3"/>
    <w:rsid w:val="004C547D"/>
    <w:rsid w:val="004D05AC"/>
    <w:rsid w:val="004D3DB6"/>
    <w:rsid w:val="004D7FD7"/>
    <w:rsid w:val="004F4A66"/>
    <w:rsid w:val="004F6EBB"/>
    <w:rsid w:val="00514627"/>
    <w:rsid w:val="005261E9"/>
    <w:rsid w:val="0052786E"/>
    <w:rsid w:val="00554CF9"/>
    <w:rsid w:val="00560522"/>
    <w:rsid w:val="00567181"/>
    <w:rsid w:val="00580398"/>
    <w:rsid w:val="005806D3"/>
    <w:rsid w:val="005933D8"/>
    <w:rsid w:val="005A0E3A"/>
    <w:rsid w:val="005A53CF"/>
    <w:rsid w:val="005B0AB6"/>
    <w:rsid w:val="005B1D77"/>
    <w:rsid w:val="005C54EB"/>
    <w:rsid w:val="005C658B"/>
    <w:rsid w:val="005D26BF"/>
    <w:rsid w:val="005D63A5"/>
    <w:rsid w:val="005E1267"/>
    <w:rsid w:val="005E1356"/>
    <w:rsid w:val="005E7606"/>
    <w:rsid w:val="005F0B1F"/>
    <w:rsid w:val="006132C3"/>
    <w:rsid w:val="00620FD5"/>
    <w:rsid w:val="00622BBB"/>
    <w:rsid w:val="00640795"/>
    <w:rsid w:val="00654DFE"/>
    <w:rsid w:val="00663ACB"/>
    <w:rsid w:val="00666CC4"/>
    <w:rsid w:val="00670CF1"/>
    <w:rsid w:val="00676A41"/>
    <w:rsid w:val="006858B2"/>
    <w:rsid w:val="00695469"/>
    <w:rsid w:val="006A4499"/>
    <w:rsid w:val="006A584C"/>
    <w:rsid w:val="006B1754"/>
    <w:rsid w:val="006B475B"/>
    <w:rsid w:val="006B6B01"/>
    <w:rsid w:val="006C5ADC"/>
    <w:rsid w:val="006E780B"/>
    <w:rsid w:val="006F1ADB"/>
    <w:rsid w:val="007068E5"/>
    <w:rsid w:val="00715277"/>
    <w:rsid w:val="00715DB3"/>
    <w:rsid w:val="007212D5"/>
    <w:rsid w:val="007271A0"/>
    <w:rsid w:val="00732272"/>
    <w:rsid w:val="0074313B"/>
    <w:rsid w:val="007775A7"/>
    <w:rsid w:val="007819E2"/>
    <w:rsid w:val="007857E7"/>
    <w:rsid w:val="0079123C"/>
    <w:rsid w:val="0079191F"/>
    <w:rsid w:val="007A0564"/>
    <w:rsid w:val="007A6680"/>
    <w:rsid w:val="007C25E3"/>
    <w:rsid w:val="007C4D12"/>
    <w:rsid w:val="007F1B0E"/>
    <w:rsid w:val="0080742E"/>
    <w:rsid w:val="00815D00"/>
    <w:rsid w:val="00816CBE"/>
    <w:rsid w:val="00834CD4"/>
    <w:rsid w:val="00835FA4"/>
    <w:rsid w:val="008424BB"/>
    <w:rsid w:val="0084283A"/>
    <w:rsid w:val="00851F45"/>
    <w:rsid w:val="00854A46"/>
    <w:rsid w:val="00860760"/>
    <w:rsid w:val="0086508E"/>
    <w:rsid w:val="0087250C"/>
    <w:rsid w:val="008754F8"/>
    <w:rsid w:val="008831EC"/>
    <w:rsid w:val="00883D8E"/>
    <w:rsid w:val="008874FC"/>
    <w:rsid w:val="00891B15"/>
    <w:rsid w:val="00891CD0"/>
    <w:rsid w:val="008B2A27"/>
    <w:rsid w:val="008C1C46"/>
    <w:rsid w:val="008C4AA3"/>
    <w:rsid w:val="008D7A18"/>
    <w:rsid w:val="008E019C"/>
    <w:rsid w:val="008E64E7"/>
    <w:rsid w:val="009009A9"/>
    <w:rsid w:val="00901488"/>
    <w:rsid w:val="0090532D"/>
    <w:rsid w:val="00911BC8"/>
    <w:rsid w:val="00912CF0"/>
    <w:rsid w:val="00913533"/>
    <w:rsid w:val="00937156"/>
    <w:rsid w:val="00941998"/>
    <w:rsid w:val="00942E8F"/>
    <w:rsid w:val="0094326D"/>
    <w:rsid w:val="00947A7C"/>
    <w:rsid w:val="009871C7"/>
    <w:rsid w:val="0098738D"/>
    <w:rsid w:val="00990C83"/>
    <w:rsid w:val="009B748D"/>
    <w:rsid w:val="009D33CC"/>
    <w:rsid w:val="00A04B37"/>
    <w:rsid w:val="00A11F39"/>
    <w:rsid w:val="00A2076D"/>
    <w:rsid w:val="00A21DD2"/>
    <w:rsid w:val="00A23D01"/>
    <w:rsid w:val="00A243F9"/>
    <w:rsid w:val="00A30E6E"/>
    <w:rsid w:val="00A45A6D"/>
    <w:rsid w:val="00A45DF2"/>
    <w:rsid w:val="00A52ED5"/>
    <w:rsid w:val="00A57D75"/>
    <w:rsid w:val="00A601DE"/>
    <w:rsid w:val="00A708F2"/>
    <w:rsid w:val="00A86E85"/>
    <w:rsid w:val="00A90C90"/>
    <w:rsid w:val="00AB3689"/>
    <w:rsid w:val="00AB3CA6"/>
    <w:rsid w:val="00AB44E7"/>
    <w:rsid w:val="00AB517E"/>
    <w:rsid w:val="00AC2BDD"/>
    <w:rsid w:val="00AC2DA6"/>
    <w:rsid w:val="00AC6071"/>
    <w:rsid w:val="00AC60FD"/>
    <w:rsid w:val="00AD2D06"/>
    <w:rsid w:val="00AE5033"/>
    <w:rsid w:val="00AF5959"/>
    <w:rsid w:val="00B06DE9"/>
    <w:rsid w:val="00B2015A"/>
    <w:rsid w:val="00B20CCE"/>
    <w:rsid w:val="00B26A5A"/>
    <w:rsid w:val="00B42549"/>
    <w:rsid w:val="00B5747C"/>
    <w:rsid w:val="00B60658"/>
    <w:rsid w:val="00B71A43"/>
    <w:rsid w:val="00B934C7"/>
    <w:rsid w:val="00B96B7E"/>
    <w:rsid w:val="00BA77E4"/>
    <w:rsid w:val="00BB0732"/>
    <w:rsid w:val="00BB6B20"/>
    <w:rsid w:val="00BB7801"/>
    <w:rsid w:val="00BB7F0C"/>
    <w:rsid w:val="00BC7DC9"/>
    <w:rsid w:val="00BD637C"/>
    <w:rsid w:val="00BE23DD"/>
    <w:rsid w:val="00C100E5"/>
    <w:rsid w:val="00C23B32"/>
    <w:rsid w:val="00C2459C"/>
    <w:rsid w:val="00C37481"/>
    <w:rsid w:val="00C50BB7"/>
    <w:rsid w:val="00C52956"/>
    <w:rsid w:val="00C742CE"/>
    <w:rsid w:val="00C82ABF"/>
    <w:rsid w:val="00C92EF9"/>
    <w:rsid w:val="00C94341"/>
    <w:rsid w:val="00C9759E"/>
    <w:rsid w:val="00CC1E79"/>
    <w:rsid w:val="00CC4346"/>
    <w:rsid w:val="00CC76B8"/>
    <w:rsid w:val="00CD6A50"/>
    <w:rsid w:val="00CE23E9"/>
    <w:rsid w:val="00CE2882"/>
    <w:rsid w:val="00CE617A"/>
    <w:rsid w:val="00CE6EB3"/>
    <w:rsid w:val="00CF5D07"/>
    <w:rsid w:val="00D12997"/>
    <w:rsid w:val="00D227FC"/>
    <w:rsid w:val="00D5171B"/>
    <w:rsid w:val="00D5327C"/>
    <w:rsid w:val="00D54BE6"/>
    <w:rsid w:val="00D64AA8"/>
    <w:rsid w:val="00D66FF2"/>
    <w:rsid w:val="00D738FF"/>
    <w:rsid w:val="00D76E08"/>
    <w:rsid w:val="00D80DAC"/>
    <w:rsid w:val="00D91F5C"/>
    <w:rsid w:val="00DB1E9B"/>
    <w:rsid w:val="00DE12AE"/>
    <w:rsid w:val="00E02AC2"/>
    <w:rsid w:val="00E033F7"/>
    <w:rsid w:val="00E035B6"/>
    <w:rsid w:val="00E058A6"/>
    <w:rsid w:val="00E1158E"/>
    <w:rsid w:val="00E14588"/>
    <w:rsid w:val="00E24039"/>
    <w:rsid w:val="00E2419D"/>
    <w:rsid w:val="00E35602"/>
    <w:rsid w:val="00E41914"/>
    <w:rsid w:val="00E4730C"/>
    <w:rsid w:val="00E50DCD"/>
    <w:rsid w:val="00E70C57"/>
    <w:rsid w:val="00E80CC2"/>
    <w:rsid w:val="00E83097"/>
    <w:rsid w:val="00E87A18"/>
    <w:rsid w:val="00E91431"/>
    <w:rsid w:val="00E92473"/>
    <w:rsid w:val="00E96058"/>
    <w:rsid w:val="00E96624"/>
    <w:rsid w:val="00EA194B"/>
    <w:rsid w:val="00EA7FB2"/>
    <w:rsid w:val="00EB3880"/>
    <w:rsid w:val="00EB3948"/>
    <w:rsid w:val="00EC4E54"/>
    <w:rsid w:val="00ED420C"/>
    <w:rsid w:val="00EE34E5"/>
    <w:rsid w:val="00EE3FF2"/>
    <w:rsid w:val="00EE5FB0"/>
    <w:rsid w:val="00F0162B"/>
    <w:rsid w:val="00F15A53"/>
    <w:rsid w:val="00F16E99"/>
    <w:rsid w:val="00F203B2"/>
    <w:rsid w:val="00F243AD"/>
    <w:rsid w:val="00F27C4B"/>
    <w:rsid w:val="00F31C93"/>
    <w:rsid w:val="00F55606"/>
    <w:rsid w:val="00F83946"/>
    <w:rsid w:val="00F93AE7"/>
    <w:rsid w:val="00FA0B2A"/>
    <w:rsid w:val="00FA6C03"/>
    <w:rsid w:val="00FA72D5"/>
    <w:rsid w:val="00FA74AB"/>
    <w:rsid w:val="00FB44EE"/>
    <w:rsid w:val="00FC41F9"/>
    <w:rsid w:val="00FE74F9"/>
    <w:rsid w:val="00FF28D6"/>
    <w:rsid w:val="00FF34D4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EF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E1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E16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1B37"/>
    <w:pPr>
      <w:ind w:leftChars="200" w:left="480"/>
    </w:pPr>
  </w:style>
  <w:style w:type="paragraph" w:styleId="a8">
    <w:name w:val="footnote text"/>
    <w:basedOn w:val="a"/>
    <w:link w:val="a9"/>
    <w:uiPriority w:val="99"/>
    <w:semiHidden/>
    <w:unhideWhenUsed/>
    <w:rsid w:val="001A1B37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1A1B3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A1B37"/>
    <w:rPr>
      <w:vertAlign w:val="superscript"/>
    </w:rPr>
  </w:style>
  <w:style w:type="character" w:styleId="ab">
    <w:name w:val="Emphasis"/>
    <w:basedOn w:val="a0"/>
    <w:uiPriority w:val="20"/>
    <w:qFormat/>
    <w:rsid w:val="00A21DD2"/>
    <w:rPr>
      <w:i/>
      <w:iCs/>
    </w:rPr>
  </w:style>
  <w:style w:type="paragraph" w:styleId="ac">
    <w:name w:val="header"/>
    <w:basedOn w:val="a"/>
    <w:link w:val="ad"/>
    <w:uiPriority w:val="99"/>
    <w:unhideWhenUsed/>
    <w:rsid w:val="00B26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B26A5A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26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B26A5A"/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C50BB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50BB7"/>
    <w:rPr>
      <w:sz w:val="20"/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C50BB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50BB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C50BB7"/>
    <w:rPr>
      <w:b/>
      <w:bCs/>
      <w:sz w:val="20"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F203B2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F203B2"/>
  </w:style>
  <w:style w:type="character" w:styleId="af7">
    <w:name w:val="endnote reference"/>
    <w:basedOn w:val="a0"/>
    <w:uiPriority w:val="99"/>
    <w:semiHidden/>
    <w:unhideWhenUsed/>
    <w:rsid w:val="00F203B2"/>
    <w:rPr>
      <w:vertAlign w:val="superscript"/>
    </w:rPr>
  </w:style>
  <w:style w:type="paragraph" w:styleId="af8">
    <w:name w:val="Revision"/>
    <w:hidden/>
    <w:uiPriority w:val="99"/>
    <w:semiHidden/>
    <w:rsid w:val="00883D8E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E1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E16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1B37"/>
    <w:pPr>
      <w:ind w:leftChars="200" w:left="480"/>
    </w:pPr>
  </w:style>
  <w:style w:type="paragraph" w:styleId="a8">
    <w:name w:val="footnote text"/>
    <w:basedOn w:val="a"/>
    <w:link w:val="a9"/>
    <w:uiPriority w:val="99"/>
    <w:semiHidden/>
    <w:unhideWhenUsed/>
    <w:rsid w:val="001A1B37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1A1B3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A1B37"/>
    <w:rPr>
      <w:vertAlign w:val="superscript"/>
    </w:rPr>
  </w:style>
  <w:style w:type="character" w:styleId="ab">
    <w:name w:val="Emphasis"/>
    <w:basedOn w:val="a0"/>
    <w:uiPriority w:val="20"/>
    <w:qFormat/>
    <w:rsid w:val="00A21DD2"/>
    <w:rPr>
      <w:i/>
      <w:iCs/>
    </w:rPr>
  </w:style>
  <w:style w:type="paragraph" w:styleId="ac">
    <w:name w:val="header"/>
    <w:basedOn w:val="a"/>
    <w:link w:val="ad"/>
    <w:uiPriority w:val="99"/>
    <w:unhideWhenUsed/>
    <w:rsid w:val="00B26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B26A5A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26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B26A5A"/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C50BB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50BB7"/>
    <w:rPr>
      <w:sz w:val="20"/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C50BB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50BB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C50BB7"/>
    <w:rPr>
      <w:b/>
      <w:bCs/>
      <w:sz w:val="20"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F203B2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F203B2"/>
  </w:style>
  <w:style w:type="character" w:styleId="af7">
    <w:name w:val="endnote reference"/>
    <w:basedOn w:val="a0"/>
    <w:uiPriority w:val="99"/>
    <w:semiHidden/>
    <w:unhideWhenUsed/>
    <w:rsid w:val="00F203B2"/>
    <w:rPr>
      <w:vertAlign w:val="superscript"/>
    </w:rPr>
  </w:style>
  <w:style w:type="paragraph" w:styleId="af8">
    <w:name w:val="Revision"/>
    <w:hidden/>
    <w:uiPriority w:val="99"/>
    <w:semiHidden/>
    <w:rsid w:val="00883D8E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02946-049C-4144-980A-894DD968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國際組織科江筱慧</dc:creator>
  <cp:lastModifiedBy>貿易管理科溫祖康</cp:lastModifiedBy>
  <cp:revision>2</cp:revision>
  <cp:lastPrinted>2018-05-18T02:43:00Z</cp:lastPrinted>
  <dcterms:created xsi:type="dcterms:W3CDTF">2018-07-24T06:46:00Z</dcterms:created>
  <dcterms:modified xsi:type="dcterms:W3CDTF">2018-07-24T06:46:00Z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